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3E5" w:rsidRPr="000B1E65" w:rsidRDefault="007403E5">
      <w:pPr>
        <w:pStyle w:val="Dokument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4110"/>
      </w:tblGrid>
      <w:tr w:rsidR="007403E5" w:rsidRPr="000B1E65">
        <w:trPr>
          <w:trHeight w:val="425"/>
        </w:trPr>
        <w:tc>
          <w:tcPr>
            <w:tcW w:w="4644" w:type="dxa"/>
            <w:gridSpan w:val="2"/>
            <w:tcBorders>
              <w:top w:val="nil"/>
              <w:left w:val="nil"/>
              <w:bottom w:val="nil"/>
              <w:right w:val="nil"/>
            </w:tcBorders>
          </w:tcPr>
          <w:p w:rsidR="007403E5" w:rsidRPr="000B1E65" w:rsidRDefault="007403E5">
            <w:pPr>
              <w:pStyle w:val="Heading4"/>
              <w:rPr>
                <w:spacing w:val="6"/>
                <w:sz w:val="24"/>
                <w:szCs w:val="24"/>
              </w:rPr>
            </w:pPr>
            <w:r>
              <w:rPr>
                <w:noProof/>
                <w:lang w:eastAsia="nb-NO"/>
              </w:rPr>
              <w:pict>
                <v:shapetype id="_x0000_t202" coordsize="21600,21600" o:spt="202" path="m,l,21600r21600,l21600,xe">
                  <v:stroke joinstyle="miter"/>
                  <v:path gradientshapeok="t" o:connecttype="rect"/>
                </v:shapetype>
                <v:shape id="_x0000_s1026" type="#_x0000_t202" style="position:absolute;margin-left:291.3pt;margin-top:20.1pt;width:187.25pt;height:81.25pt;z-index:251658240;mso-position-horizontal-relative:page;mso-position-vertical-relative:page" stroked="f">
                  <v:textbox style="mso-next-textbox:#_x0000_s1026" inset="0,0,0,0">
                    <w:txbxContent>
                      <w:tbl>
                        <w:tblPr>
                          <w:tblW w:w="3898" w:type="dxa"/>
                          <w:tblLayout w:type="fixed"/>
                          <w:tblCellMar>
                            <w:left w:w="70" w:type="dxa"/>
                            <w:right w:w="70" w:type="dxa"/>
                          </w:tblCellMar>
                          <w:tblLook w:val="0000"/>
                        </w:tblPr>
                        <w:tblGrid>
                          <w:gridCol w:w="1092"/>
                          <w:gridCol w:w="2806"/>
                        </w:tblGrid>
                        <w:tr w:rsidR="007403E5" w:rsidRPr="000B1E65">
                          <w:tc>
                            <w:tcPr>
                              <w:tcW w:w="3898" w:type="dxa"/>
                              <w:gridSpan w:val="2"/>
                              <w:vAlign w:val="bottom"/>
                            </w:tcPr>
                            <w:p w:rsidR="007403E5" w:rsidRPr="000B1E65" w:rsidRDefault="007403E5">
                              <w:pPr>
                                <w:rPr>
                                  <w:rFonts w:ascii="Humnst777 BT" w:hAnsi="Humnst777 BT" w:cs="Humnst777 BT"/>
                                  <w:sz w:val="14"/>
                                  <w:szCs w:val="14"/>
                                </w:rPr>
                              </w:pPr>
                              <w:bookmarkStart w:id="0" w:name="_GoBack"/>
                              <w:bookmarkStart w:id="1" w:name="sbh_T" w:colFirst="0" w:colLast="0"/>
                              <w:bookmarkEnd w:id="0"/>
                              <w:r w:rsidRPr="000B1E65">
                                <w:rPr>
                                  <w:rFonts w:ascii="Humnst777 BT" w:hAnsi="Humnst777 BT" w:cs="Humnst777 BT"/>
                                  <w:sz w:val="14"/>
                                  <w:szCs w:val="14"/>
                                </w:rPr>
                                <w:t>Saksbehandler/innvalgsnr:</w:t>
                              </w:r>
                            </w:p>
                          </w:tc>
                        </w:tr>
                        <w:tr w:rsidR="007403E5" w:rsidRPr="000B1E65">
                          <w:trPr>
                            <w:trHeight w:val="340"/>
                          </w:trPr>
                          <w:tc>
                            <w:tcPr>
                              <w:tcW w:w="3898" w:type="dxa"/>
                              <w:gridSpan w:val="2"/>
                              <w:vAlign w:val="center"/>
                            </w:tcPr>
                            <w:p w:rsidR="007403E5" w:rsidRPr="000B1E65" w:rsidRDefault="007403E5">
                              <w:pPr>
                                <w:rPr>
                                  <w:sz w:val="16"/>
                                  <w:szCs w:val="16"/>
                                </w:rPr>
                              </w:pPr>
                              <w:bookmarkStart w:id="2" w:name="Vår_saksbehandler" w:colFirst="0" w:colLast="0"/>
                              <w:bookmarkEnd w:id="1"/>
                              <w:r>
                                <w:rPr>
                                  <w:sz w:val="16"/>
                                  <w:szCs w:val="16"/>
                                </w:rPr>
                                <w:t>Liv Marie Nygaard  - 22073742</w:t>
                              </w:r>
                            </w:p>
                          </w:tc>
                        </w:tr>
                        <w:tr w:rsidR="007403E5" w:rsidRPr="000B1E65">
                          <w:tc>
                            <w:tcPr>
                              <w:tcW w:w="1092" w:type="dxa"/>
                              <w:vAlign w:val="bottom"/>
                            </w:tcPr>
                            <w:p w:rsidR="007403E5" w:rsidRPr="000B1E65" w:rsidRDefault="007403E5">
                              <w:pPr>
                                <w:rPr>
                                  <w:rFonts w:ascii="Humnst777 BT" w:hAnsi="Humnst777 BT" w:cs="Humnst777 BT"/>
                                  <w:sz w:val="14"/>
                                  <w:szCs w:val="14"/>
                                </w:rPr>
                              </w:pPr>
                              <w:bookmarkStart w:id="3" w:name="VDato_T" w:colFirst="0" w:colLast="0"/>
                              <w:bookmarkStart w:id="4" w:name="Vår_dato" w:colFirst="1" w:colLast="1"/>
                              <w:bookmarkEnd w:id="2"/>
                              <w:r w:rsidRPr="000B1E65">
                                <w:rPr>
                                  <w:rFonts w:ascii="Humnst777 BT" w:hAnsi="Humnst777 BT" w:cs="Humnst777 BT"/>
                                  <w:sz w:val="14"/>
                                  <w:szCs w:val="14"/>
                                </w:rPr>
                                <w:t>Vår dato:</w:t>
                              </w:r>
                            </w:p>
                          </w:tc>
                          <w:tc>
                            <w:tcPr>
                              <w:tcW w:w="2806" w:type="dxa"/>
                              <w:vAlign w:val="bottom"/>
                            </w:tcPr>
                            <w:p w:rsidR="007403E5" w:rsidRPr="000B1E65" w:rsidRDefault="007403E5">
                              <w:pPr>
                                <w:rPr>
                                  <w:sz w:val="16"/>
                                  <w:szCs w:val="16"/>
                                </w:rPr>
                              </w:pPr>
                              <w:r>
                                <w:rPr>
                                  <w:sz w:val="16"/>
                                  <w:szCs w:val="16"/>
                                </w:rPr>
                                <w:t>21.03.2013</w:t>
                              </w:r>
                            </w:p>
                          </w:tc>
                        </w:tr>
                        <w:tr w:rsidR="007403E5" w:rsidRPr="000B1E65">
                          <w:trPr>
                            <w:trHeight w:val="284"/>
                          </w:trPr>
                          <w:tc>
                            <w:tcPr>
                              <w:tcW w:w="1092" w:type="dxa"/>
                              <w:vAlign w:val="bottom"/>
                            </w:tcPr>
                            <w:p w:rsidR="007403E5" w:rsidRPr="000B1E65" w:rsidRDefault="007403E5">
                              <w:pPr>
                                <w:rPr>
                                  <w:sz w:val="14"/>
                                  <w:szCs w:val="14"/>
                                </w:rPr>
                              </w:pPr>
                              <w:bookmarkStart w:id="5" w:name="Vår_referanse" w:colFirst="1" w:colLast="1"/>
                              <w:bookmarkStart w:id="6" w:name="Vref_T" w:colFirst="0" w:colLast="0"/>
                              <w:bookmarkEnd w:id="3"/>
                              <w:bookmarkEnd w:id="4"/>
                              <w:r w:rsidRPr="000B1E65">
                                <w:rPr>
                                  <w:rFonts w:ascii="Humnst777 BT" w:hAnsi="Humnst777 BT" w:cs="Humnst777 BT"/>
                                  <w:sz w:val="14"/>
                                  <w:szCs w:val="14"/>
                                </w:rPr>
                                <w:t>Vår referanse:</w:t>
                              </w:r>
                            </w:p>
                          </w:tc>
                          <w:tc>
                            <w:tcPr>
                              <w:tcW w:w="2806" w:type="dxa"/>
                              <w:vAlign w:val="bottom"/>
                            </w:tcPr>
                            <w:p w:rsidR="007403E5" w:rsidRPr="000B1E65" w:rsidRDefault="007403E5">
                              <w:pPr>
                                <w:rPr>
                                  <w:sz w:val="16"/>
                                  <w:szCs w:val="16"/>
                                </w:rPr>
                              </w:pPr>
                              <w:r>
                                <w:rPr>
                                  <w:sz w:val="16"/>
                                  <w:szCs w:val="16"/>
                                </w:rPr>
                                <w:t>2010/004462-052</w:t>
                              </w:r>
                            </w:p>
                          </w:tc>
                        </w:tr>
                        <w:bookmarkEnd w:id="5"/>
                        <w:bookmarkEnd w:id="6"/>
                        <w:tr w:rsidR="007403E5" w:rsidRPr="000B1E65">
                          <w:tc>
                            <w:tcPr>
                              <w:tcW w:w="1092" w:type="dxa"/>
                              <w:vAlign w:val="bottom"/>
                            </w:tcPr>
                            <w:p w:rsidR="007403E5" w:rsidRPr="000B1E65" w:rsidRDefault="007403E5">
                              <w:pPr>
                                <w:rPr>
                                  <w:rFonts w:ascii="Humnst777 BT" w:hAnsi="Humnst777 BT" w:cs="Humnst777 BT"/>
                                  <w:sz w:val="14"/>
                                  <w:szCs w:val="14"/>
                                </w:rPr>
                              </w:pPr>
                            </w:p>
                          </w:tc>
                          <w:tc>
                            <w:tcPr>
                              <w:tcW w:w="2806" w:type="dxa"/>
                              <w:vAlign w:val="bottom"/>
                            </w:tcPr>
                            <w:p w:rsidR="007403E5" w:rsidRPr="000B1E65" w:rsidRDefault="007403E5">
                              <w:pPr>
                                <w:rPr>
                                  <w:rFonts w:ascii="Humnst777 BT" w:hAnsi="Humnst777 BT" w:cs="Humnst777 BT"/>
                                  <w:sz w:val="14"/>
                                  <w:szCs w:val="14"/>
                                </w:rPr>
                              </w:pPr>
                            </w:p>
                          </w:tc>
                        </w:tr>
                        <w:tr w:rsidR="007403E5" w:rsidRPr="000B1E65">
                          <w:trPr>
                            <w:cantSplit/>
                            <w:trHeight w:val="262"/>
                          </w:trPr>
                          <w:tc>
                            <w:tcPr>
                              <w:tcW w:w="3898" w:type="dxa"/>
                              <w:gridSpan w:val="2"/>
                            </w:tcPr>
                            <w:p w:rsidR="007403E5" w:rsidRPr="000B1E65" w:rsidRDefault="007403E5">
                              <w:pPr>
                                <w:rPr>
                                  <w:rFonts w:ascii="Humnst777 BT" w:hAnsi="Humnst777 BT" w:cs="Humnst777 BT"/>
                                  <w:sz w:val="16"/>
                                  <w:szCs w:val="16"/>
                                </w:rPr>
                              </w:pPr>
                              <w:bookmarkStart w:id="7" w:name="Gradering" w:colFirst="0" w:colLast="0"/>
                            </w:p>
                          </w:tc>
                        </w:tr>
                        <w:bookmarkEnd w:id="7"/>
                      </w:tbl>
                      <w:p w:rsidR="007403E5" w:rsidRPr="000B1E65" w:rsidRDefault="007403E5">
                        <w:pPr>
                          <w:rPr>
                            <w:sz w:val="4"/>
                            <w:szCs w:val="4"/>
                          </w:rPr>
                        </w:pPr>
                      </w:p>
                    </w:txbxContent>
                  </v:textbox>
                  <w10:wrap anchorx="page" anchory="page"/>
                </v:shape>
              </w:pict>
            </w:r>
            <w:r w:rsidRPr="000B1E65">
              <w:rPr>
                <w:spacing w:val="6"/>
                <w:sz w:val="24"/>
                <w:szCs w:val="24"/>
              </w:rPr>
              <w:t>Notat</w:t>
            </w:r>
          </w:p>
        </w:tc>
      </w:tr>
      <w:tr w:rsidR="007403E5" w:rsidRPr="000B1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534" w:type="dxa"/>
          </w:tcPr>
          <w:p w:rsidR="007403E5" w:rsidRPr="000B1E65" w:rsidRDefault="007403E5">
            <w:pPr>
              <w:spacing w:after="40"/>
              <w:rPr>
                <w:rFonts w:ascii="Humnst777 BT" w:hAnsi="Humnst777 BT" w:cs="Humnst777 BT"/>
                <w:sz w:val="14"/>
                <w:szCs w:val="14"/>
              </w:rPr>
            </w:pPr>
            <w:bookmarkStart w:id="8" w:name="Mottakere" w:colFirst="1" w:colLast="1"/>
            <w:r w:rsidRPr="000B1E65">
              <w:rPr>
                <w:rFonts w:ascii="Humnst777 BT" w:hAnsi="Humnst777 BT" w:cs="Humnst777 BT"/>
                <w:sz w:val="14"/>
                <w:szCs w:val="14"/>
              </w:rPr>
              <w:t>Til:</w:t>
            </w:r>
          </w:p>
        </w:tc>
        <w:tc>
          <w:tcPr>
            <w:tcW w:w="4110" w:type="dxa"/>
            <w:vAlign w:val="bottom"/>
          </w:tcPr>
          <w:p w:rsidR="007403E5" w:rsidRPr="000B1E65" w:rsidRDefault="007403E5">
            <w:pPr>
              <w:pStyle w:val="Dokumenttekst"/>
            </w:pPr>
            <w:r>
              <w:t>Postmottak øst, Postmottak sør, Postmottak vest, Postmottak midt, Postmottak nord</w:t>
            </w:r>
          </w:p>
        </w:tc>
      </w:tr>
      <w:tr w:rsidR="007403E5" w:rsidRPr="000B1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7403E5" w:rsidRPr="000B1E65" w:rsidRDefault="007403E5">
            <w:pPr>
              <w:spacing w:after="40"/>
              <w:rPr>
                <w:rFonts w:ascii="Humnst777 BT" w:hAnsi="Humnst777 BT" w:cs="Humnst777 BT"/>
                <w:sz w:val="14"/>
                <w:szCs w:val="14"/>
              </w:rPr>
            </w:pPr>
            <w:bookmarkStart w:id="9" w:name="NotatFra" w:colFirst="1" w:colLast="1"/>
            <w:bookmarkStart w:id="10" w:name="Fra_T" w:colFirst="0" w:colLast="0"/>
            <w:bookmarkEnd w:id="8"/>
            <w:r w:rsidRPr="000B1E65">
              <w:rPr>
                <w:rFonts w:ascii="Humnst777 BT" w:hAnsi="Humnst777 BT" w:cs="Humnst777 BT"/>
                <w:sz w:val="14"/>
                <w:szCs w:val="14"/>
              </w:rPr>
              <w:t>Fra:</w:t>
            </w:r>
          </w:p>
        </w:tc>
        <w:tc>
          <w:tcPr>
            <w:tcW w:w="4110" w:type="dxa"/>
            <w:vAlign w:val="bottom"/>
          </w:tcPr>
          <w:p w:rsidR="007403E5" w:rsidRPr="000B1E65" w:rsidRDefault="007403E5">
            <w:r>
              <w:t>Trafikksikkerhetsseksjonen</w:t>
            </w:r>
          </w:p>
        </w:tc>
      </w:tr>
      <w:tr w:rsidR="007403E5" w:rsidRPr="000B1E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534" w:type="dxa"/>
          </w:tcPr>
          <w:p w:rsidR="007403E5" w:rsidRPr="000B1E65" w:rsidRDefault="007403E5">
            <w:pPr>
              <w:spacing w:after="40"/>
              <w:rPr>
                <w:rFonts w:ascii="Humnst777 BT" w:hAnsi="Humnst777 BT" w:cs="Humnst777 BT"/>
                <w:sz w:val="14"/>
                <w:szCs w:val="14"/>
              </w:rPr>
            </w:pPr>
            <w:bookmarkStart w:id="11" w:name="Kopi" w:colFirst="1" w:colLast="1"/>
            <w:bookmarkEnd w:id="9"/>
            <w:bookmarkEnd w:id="10"/>
            <w:r w:rsidRPr="000B1E65">
              <w:rPr>
                <w:rFonts w:ascii="Humnst777 BT" w:hAnsi="Humnst777 BT" w:cs="Humnst777 BT"/>
                <w:sz w:val="14"/>
                <w:szCs w:val="14"/>
              </w:rPr>
              <w:t>Kopi:</w:t>
            </w:r>
          </w:p>
        </w:tc>
        <w:tc>
          <w:tcPr>
            <w:tcW w:w="4110" w:type="dxa"/>
            <w:vAlign w:val="bottom"/>
          </w:tcPr>
          <w:p w:rsidR="007403E5" w:rsidRPr="000B1E65" w:rsidRDefault="007403E5"/>
        </w:tc>
      </w:tr>
      <w:bookmarkEnd w:id="11"/>
    </w:tbl>
    <w:p w:rsidR="007403E5" w:rsidRPr="000B1E65" w:rsidRDefault="007403E5"/>
    <w:p w:rsidR="007403E5" w:rsidRPr="000B1E65" w:rsidRDefault="007403E5"/>
    <w:p w:rsidR="007403E5" w:rsidRPr="000B1E65" w:rsidRDefault="007403E5"/>
    <w:p w:rsidR="007403E5" w:rsidRPr="000B1E65" w:rsidRDefault="007403E5"/>
    <w:tbl>
      <w:tblPr>
        <w:tblW w:w="9211" w:type="dxa"/>
        <w:tblLayout w:type="fixed"/>
        <w:tblCellMar>
          <w:left w:w="70" w:type="dxa"/>
          <w:right w:w="70" w:type="dxa"/>
        </w:tblCellMar>
        <w:tblLook w:val="0000"/>
      </w:tblPr>
      <w:tblGrid>
        <w:gridCol w:w="9211"/>
      </w:tblGrid>
      <w:tr w:rsidR="007403E5" w:rsidRPr="000B1E65">
        <w:tc>
          <w:tcPr>
            <w:tcW w:w="9211" w:type="dxa"/>
          </w:tcPr>
          <w:p w:rsidR="007403E5" w:rsidRPr="000B1E65" w:rsidRDefault="007403E5">
            <w:pPr>
              <w:pStyle w:val="Overskrift"/>
              <w:spacing w:before="0" w:after="0"/>
              <w:rPr>
                <w:rFonts w:ascii="Humnst777 Blk BT" w:hAnsi="Humnst777 Blk BT" w:cs="Humnst777 Blk BT"/>
                <w:spacing w:val="6"/>
                <w:sz w:val="24"/>
                <w:szCs w:val="24"/>
              </w:rPr>
            </w:pPr>
            <w:bookmarkStart w:id="12" w:name="Overskriften" w:colFirst="0" w:colLast="0"/>
            <w:r>
              <w:rPr>
                <w:rFonts w:ascii="Humnst777 Blk BT" w:hAnsi="Humnst777 Blk BT" w:cs="Humnst777 Blk BT"/>
                <w:spacing w:val="6"/>
                <w:sz w:val="24"/>
                <w:szCs w:val="24"/>
              </w:rPr>
              <w:t>Tilstandsundersøkelse kap 3/2013 - Bruk av piggdekk</w:t>
            </w:r>
          </w:p>
        </w:tc>
      </w:tr>
      <w:bookmarkEnd w:id="12"/>
    </w:tbl>
    <w:p w:rsidR="007403E5" w:rsidRPr="000B1E65" w:rsidRDefault="007403E5">
      <w:pPr>
        <w:pStyle w:val="Dokumenttekst"/>
      </w:pPr>
    </w:p>
    <w:p w:rsidR="007403E5" w:rsidRDefault="007403E5" w:rsidP="008477BF">
      <w:pPr>
        <w:pStyle w:val="Dokumenttekst"/>
        <w:tabs>
          <w:tab w:val="left" w:pos="938"/>
        </w:tabs>
        <w:rPr>
          <w:b/>
          <w:bCs/>
        </w:rPr>
      </w:pPr>
      <w:r>
        <w:rPr>
          <w:b/>
          <w:bCs/>
        </w:rPr>
        <w:t>1. Innledning</w:t>
      </w:r>
    </w:p>
    <w:p w:rsidR="007403E5" w:rsidRDefault="007403E5" w:rsidP="008477BF">
      <w:pPr>
        <w:pStyle w:val="Dokumenttekst"/>
        <w:tabs>
          <w:tab w:val="left" w:pos="938"/>
        </w:tabs>
      </w:pPr>
      <w:r>
        <w:t xml:space="preserve">Tilstandsundersøkelse kap. 3/2013 - Bruk av piggdekk, ble gjennomført i ukene 5, 6 eller 7. Undersøkelsen ble gjennomført i alle regionene. </w:t>
      </w:r>
    </w:p>
    <w:p w:rsidR="007403E5" w:rsidRDefault="007403E5" w:rsidP="008477BF">
      <w:pPr>
        <w:pStyle w:val="Dokumenttekst"/>
        <w:tabs>
          <w:tab w:val="left" w:pos="938"/>
        </w:tabs>
      </w:pPr>
    </w:p>
    <w:p w:rsidR="007403E5" w:rsidRDefault="007403E5" w:rsidP="008477BF">
      <w:pPr>
        <w:pStyle w:val="Dokumenttekst"/>
        <w:tabs>
          <w:tab w:val="left" w:pos="938"/>
        </w:tabs>
        <w:rPr>
          <w:b/>
          <w:bCs/>
        </w:rPr>
      </w:pPr>
      <w:r>
        <w:rPr>
          <w:b/>
          <w:bCs/>
        </w:rPr>
        <w:t>2. Bakgrunn</w:t>
      </w:r>
    </w:p>
    <w:p w:rsidR="007403E5" w:rsidRDefault="007403E5" w:rsidP="008477BF">
      <w:pPr>
        <w:tabs>
          <w:tab w:val="left" w:pos="938"/>
        </w:tabs>
      </w:pPr>
      <w:r>
        <w:t>I NVVP 1998-2007 er det vedtatt at det skal gjennomføres en rekke tilstandsundersøkelser for å kartlegge utviklingen i en del parametere som påvirker sikkerheten og forurensing fra vegtrafikken. Bruken av piggdekk er vist å påvirke produksjonen av svevestøv som igjen kan føre til en økning av lunge- og luftveissykdommer. En interdepartemental gruppe fremla i desember 1996 en rapport med "Forslag til en politikk for redusert bruk av piggdekk". På dette grunnlaget vedtok Stortinget hjemmel for å innføre piggdekkgebyr som et av flere mulige stimulansetiltak for økt bruk av piggfrie vinterdekk. Vedtaket var særlig myntet på de fire største byene Oslo, Stavanger, Bergen og Trondheim, som samtlige har vedtatt å innføre piggdekkgebyr. Oslo avviklet ordning for en periode, Trondheim er inne i en slik periode nå, mens Stavanger ikke har etablert den ennå. I Oslo og Bergen koster det kr 1.200 pr sesong å kjøre med piggdekk. Ordningen har også vært vurdert som stimulansetiltak i Drammen, Grenland og Tromsø. Lav piggdekkbruk er ikke et mål i seg selv, men et virkemiddel for å redusere støvproblemet der dette er et helseproblem. Statens vegvesen ønsker med utgangspunkt i dette å ha en løpende oversikt over piggdekkbruken.</w:t>
      </w:r>
    </w:p>
    <w:p w:rsidR="007403E5" w:rsidRDefault="007403E5" w:rsidP="008477BF">
      <w:pPr>
        <w:tabs>
          <w:tab w:val="left" w:pos="938"/>
        </w:tabs>
      </w:pPr>
    </w:p>
    <w:p w:rsidR="007403E5" w:rsidRDefault="007403E5" w:rsidP="008477BF">
      <w:pPr>
        <w:pStyle w:val="Dokumenttekst"/>
        <w:tabs>
          <w:tab w:val="left" w:pos="938"/>
        </w:tabs>
        <w:rPr>
          <w:b/>
          <w:bCs/>
        </w:rPr>
      </w:pPr>
      <w:r>
        <w:rPr>
          <w:b/>
          <w:bCs/>
        </w:rPr>
        <w:t>3. Metode</w:t>
      </w:r>
    </w:p>
    <w:p w:rsidR="007403E5" w:rsidRDefault="007403E5" w:rsidP="008477BF">
      <w:pPr>
        <w:tabs>
          <w:tab w:val="left" w:pos="938"/>
        </w:tabs>
      </w:pPr>
      <w:r>
        <w:t>For å følge opp dette vedtaket og for å følge utviklingen i piggdekkbruk på landsbasis og i byer og byområder gjennomfører Statens vegvesen årlig registreringer av piggdekkbruken rundt i landet</w:t>
      </w:r>
      <w:bookmarkStart w:id="13" w:name="OLE_LINK2"/>
      <w:r>
        <w:t xml:space="preserve">. </w:t>
      </w:r>
      <w:bookmarkStart w:id="14" w:name="OLE_LINK6"/>
    </w:p>
    <w:p w:rsidR="007403E5" w:rsidRDefault="007403E5" w:rsidP="008477BF">
      <w:pPr>
        <w:tabs>
          <w:tab w:val="left" w:pos="938"/>
        </w:tabs>
      </w:pPr>
    </w:p>
    <w:p w:rsidR="007403E5" w:rsidRDefault="007403E5" w:rsidP="008477BF">
      <w:pPr>
        <w:tabs>
          <w:tab w:val="left" w:pos="938"/>
        </w:tabs>
        <w:rPr>
          <w:lang w:eastAsia="nb-NO"/>
        </w:rPr>
      </w:pPr>
      <w:r>
        <w:t>For registrering av piggdekkbruken på landsbasis, og utenom de større byene og byområdene, er tellemetoden som er valgt at det i hver region skal registreres minst 1000 lette og 100 tunge kjøretøy på utvalgte, større bensinstasjoner. Resultatene fra disse tellingene er gjengitt i kapitel 4.</w:t>
      </w:r>
    </w:p>
    <w:p w:rsidR="007403E5" w:rsidRDefault="007403E5" w:rsidP="008477BF">
      <w:pPr>
        <w:tabs>
          <w:tab w:val="left" w:pos="938"/>
        </w:tabs>
        <w:autoSpaceDE w:val="0"/>
        <w:autoSpaceDN w:val="0"/>
        <w:adjustRightInd w:val="0"/>
        <w:rPr>
          <w:lang w:eastAsia="nb-NO"/>
        </w:rPr>
      </w:pPr>
    </w:p>
    <w:p w:rsidR="007403E5" w:rsidRDefault="007403E5" w:rsidP="008477BF">
      <w:pPr>
        <w:tabs>
          <w:tab w:val="left" w:pos="938"/>
        </w:tabs>
        <w:autoSpaceDE w:val="0"/>
        <w:autoSpaceDN w:val="0"/>
        <w:adjustRightInd w:val="0"/>
        <w:rPr>
          <w:lang w:eastAsia="nb-NO"/>
        </w:rPr>
      </w:pPr>
      <w:r>
        <w:rPr>
          <w:lang w:eastAsia="nb-NO"/>
        </w:rPr>
        <w:br w:type="page"/>
        <w:t>I byer og byområder registreres</w:t>
      </w:r>
      <w:r>
        <w:rPr>
          <w:color w:val="0000FF"/>
          <w:lang w:eastAsia="nb-NO"/>
        </w:rPr>
        <w:t xml:space="preserve"> </w:t>
      </w:r>
      <w:r>
        <w:rPr>
          <w:lang w:eastAsia="nb-NO"/>
        </w:rPr>
        <w:t xml:space="preserve">det piggdekkbruk på utvalgte bensinstasjoner, parkeringsplasser og p-hus følgende steder: </w:t>
      </w:r>
    </w:p>
    <w:p w:rsidR="007403E5" w:rsidRDefault="007403E5" w:rsidP="008477BF">
      <w:pPr>
        <w:tabs>
          <w:tab w:val="left" w:pos="938"/>
        </w:tabs>
        <w:autoSpaceDE w:val="0"/>
        <w:autoSpaceDN w:val="0"/>
        <w:adjustRightInd w:val="0"/>
        <w:ind w:left="360"/>
        <w:rPr>
          <w:lang w:eastAsia="nb-NO"/>
        </w:rPr>
      </w:pPr>
    </w:p>
    <w:p w:rsidR="007403E5" w:rsidRDefault="007403E5" w:rsidP="008477BF">
      <w:pPr>
        <w:tabs>
          <w:tab w:val="left" w:pos="938"/>
        </w:tabs>
        <w:autoSpaceDE w:val="0"/>
        <w:autoSpaceDN w:val="0"/>
        <w:adjustRightInd w:val="0"/>
        <w:ind w:left="2124" w:hanging="1764"/>
        <w:rPr>
          <w:lang w:eastAsia="nb-NO"/>
        </w:rPr>
      </w:pPr>
      <w:r>
        <w:rPr>
          <w:lang w:eastAsia="nb-NO"/>
        </w:rPr>
        <w:t xml:space="preserve">Region øst: </w:t>
      </w:r>
      <w:r>
        <w:rPr>
          <w:lang w:eastAsia="nb-NO"/>
        </w:rPr>
        <w:tab/>
        <w:t>Lillehammer, Hamar, Oslo, Fredrikstad/Sarpsborg</w:t>
      </w:r>
    </w:p>
    <w:p w:rsidR="007403E5" w:rsidRDefault="007403E5" w:rsidP="008477BF">
      <w:pPr>
        <w:tabs>
          <w:tab w:val="left" w:pos="938"/>
        </w:tabs>
        <w:autoSpaceDE w:val="0"/>
        <w:autoSpaceDN w:val="0"/>
        <w:adjustRightInd w:val="0"/>
        <w:ind w:left="2124" w:hanging="1764"/>
        <w:rPr>
          <w:lang w:eastAsia="nb-NO"/>
        </w:rPr>
      </w:pPr>
      <w:r>
        <w:rPr>
          <w:lang w:eastAsia="nb-NO"/>
        </w:rPr>
        <w:tab/>
      </w:r>
      <w:r>
        <w:rPr>
          <w:lang w:eastAsia="nb-NO"/>
        </w:rPr>
        <w:tab/>
        <w:t xml:space="preserve">og kommunene Asker/Bærum. </w:t>
      </w:r>
    </w:p>
    <w:p w:rsidR="007403E5" w:rsidRDefault="007403E5" w:rsidP="008477BF">
      <w:pPr>
        <w:tabs>
          <w:tab w:val="left" w:pos="938"/>
        </w:tabs>
        <w:autoSpaceDE w:val="0"/>
        <w:autoSpaceDN w:val="0"/>
        <w:adjustRightInd w:val="0"/>
        <w:ind w:left="360"/>
        <w:rPr>
          <w:lang w:eastAsia="nb-NO"/>
        </w:rPr>
      </w:pPr>
      <w:r>
        <w:rPr>
          <w:lang w:eastAsia="nb-NO"/>
        </w:rPr>
        <w:t xml:space="preserve">Region sør: </w:t>
      </w:r>
      <w:r>
        <w:rPr>
          <w:lang w:eastAsia="nb-NO"/>
        </w:rPr>
        <w:tab/>
        <w:t>Drammen og Kristiansand</w:t>
      </w:r>
      <w:r>
        <w:rPr>
          <w:color w:val="0000FF"/>
          <w:lang w:eastAsia="nb-NO"/>
        </w:rPr>
        <w:t xml:space="preserve"> </w:t>
      </w:r>
      <w:r>
        <w:rPr>
          <w:lang w:eastAsia="nb-NO"/>
        </w:rPr>
        <w:t>og kommunene</w:t>
      </w:r>
      <w:r>
        <w:rPr>
          <w:color w:val="0000FF"/>
          <w:lang w:eastAsia="nb-NO"/>
        </w:rPr>
        <w:t xml:space="preserve"> </w:t>
      </w:r>
      <w:r>
        <w:rPr>
          <w:lang w:eastAsia="nb-NO"/>
        </w:rPr>
        <w:t xml:space="preserve">Skien/Porsgrunn </w:t>
      </w:r>
    </w:p>
    <w:p w:rsidR="007403E5" w:rsidRDefault="007403E5" w:rsidP="008477BF">
      <w:pPr>
        <w:tabs>
          <w:tab w:val="left" w:pos="938"/>
        </w:tabs>
        <w:autoSpaceDE w:val="0"/>
        <w:autoSpaceDN w:val="0"/>
        <w:adjustRightInd w:val="0"/>
        <w:ind w:left="360"/>
        <w:rPr>
          <w:lang w:eastAsia="nb-NO"/>
        </w:rPr>
      </w:pPr>
      <w:r>
        <w:rPr>
          <w:lang w:eastAsia="nb-NO"/>
        </w:rPr>
        <w:t>Region vest:</w:t>
      </w:r>
      <w:r>
        <w:rPr>
          <w:lang w:eastAsia="nb-NO"/>
        </w:rPr>
        <w:tab/>
        <w:t>Bergen og kommunene</w:t>
      </w:r>
      <w:r>
        <w:rPr>
          <w:rFonts w:ascii="Arial" w:hAnsi="Arial" w:cs="Arial"/>
          <w:color w:val="0000FF"/>
          <w:sz w:val="20"/>
          <w:szCs w:val="20"/>
          <w:lang w:eastAsia="nb-NO"/>
        </w:rPr>
        <w:t xml:space="preserve"> </w:t>
      </w:r>
      <w:r>
        <w:rPr>
          <w:lang w:eastAsia="nb-NO"/>
        </w:rPr>
        <w:t>Stavanger/Sandnes.</w:t>
      </w:r>
    </w:p>
    <w:p w:rsidR="007403E5" w:rsidRDefault="007403E5" w:rsidP="008477BF">
      <w:pPr>
        <w:tabs>
          <w:tab w:val="left" w:pos="938"/>
        </w:tabs>
        <w:autoSpaceDE w:val="0"/>
        <w:autoSpaceDN w:val="0"/>
        <w:adjustRightInd w:val="0"/>
        <w:ind w:left="360"/>
        <w:rPr>
          <w:lang w:val="nn-NO" w:eastAsia="nb-NO"/>
        </w:rPr>
      </w:pPr>
      <w:r>
        <w:rPr>
          <w:lang w:val="nn-NO" w:eastAsia="nb-NO"/>
        </w:rPr>
        <w:t>Region midt:</w:t>
      </w:r>
      <w:r>
        <w:rPr>
          <w:lang w:val="nn-NO" w:eastAsia="nb-NO"/>
        </w:rPr>
        <w:tab/>
        <w:t>Trondheim og Ålesund.</w:t>
      </w:r>
    </w:p>
    <w:p w:rsidR="007403E5" w:rsidRDefault="007403E5" w:rsidP="008477BF">
      <w:pPr>
        <w:tabs>
          <w:tab w:val="left" w:pos="938"/>
        </w:tabs>
        <w:autoSpaceDE w:val="0"/>
        <w:autoSpaceDN w:val="0"/>
        <w:adjustRightInd w:val="0"/>
        <w:ind w:left="360"/>
        <w:rPr>
          <w:lang w:val="nn-NO" w:eastAsia="nb-NO"/>
        </w:rPr>
      </w:pPr>
      <w:r>
        <w:rPr>
          <w:lang w:val="nn-NO" w:eastAsia="nb-NO"/>
        </w:rPr>
        <w:t>Region nord:</w:t>
      </w:r>
      <w:r>
        <w:rPr>
          <w:lang w:val="nn-NO" w:eastAsia="nb-NO"/>
        </w:rPr>
        <w:tab/>
        <w:t xml:space="preserve">Tromsø. </w:t>
      </w:r>
    </w:p>
    <w:bookmarkEnd w:id="13"/>
    <w:bookmarkEnd w:id="14"/>
    <w:p w:rsidR="007403E5" w:rsidRDefault="007403E5" w:rsidP="008477BF">
      <w:pPr>
        <w:tabs>
          <w:tab w:val="left" w:pos="938"/>
        </w:tabs>
        <w:rPr>
          <w:lang w:val="nn-NO"/>
        </w:rPr>
      </w:pPr>
    </w:p>
    <w:p w:rsidR="007403E5" w:rsidRDefault="007403E5" w:rsidP="008477BF">
      <w:pPr>
        <w:tabs>
          <w:tab w:val="left" w:pos="938"/>
        </w:tabs>
        <w:autoSpaceDE w:val="0"/>
        <w:autoSpaceDN w:val="0"/>
        <w:adjustRightInd w:val="0"/>
        <w:rPr>
          <w:lang w:eastAsia="nb-NO"/>
        </w:rPr>
      </w:pPr>
      <w:r>
        <w:rPr>
          <w:lang w:val="nn-NO" w:eastAsia="nb-NO"/>
        </w:rPr>
        <w:t xml:space="preserve">I Oslo, Bergen, Trondheim og Stavanger/Sandnes </w:t>
      </w:r>
      <w:r>
        <w:rPr>
          <w:lang w:val="nn-NO"/>
        </w:rPr>
        <w:t xml:space="preserve">skal det registreres minst 2000 lette og 200 tunge kjøretøy. I øvrige byer og byområder skal det registreres minst 1000 lette og 100 tunge kjøretøy. </w:t>
      </w:r>
      <w:r>
        <w:t>Resultatene fra disse tellingene er gjengitt i kapitel 6.</w:t>
      </w:r>
    </w:p>
    <w:p w:rsidR="007403E5" w:rsidRDefault="007403E5" w:rsidP="008477BF">
      <w:pPr>
        <w:tabs>
          <w:tab w:val="left" w:pos="938"/>
        </w:tabs>
      </w:pPr>
    </w:p>
    <w:p w:rsidR="007403E5" w:rsidRDefault="007403E5" w:rsidP="008477BF">
      <w:pPr>
        <w:tabs>
          <w:tab w:val="left" w:pos="938"/>
        </w:tabs>
      </w:pPr>
      <w:r>
        <w:t>Det skal registreres på de samme bensinstasjonene og p-plasser/hus hvert år, og bilene må stå stille og være godt synlig for å kunne bli registrert. Dette gjøres for å sikre sammenlignbare resultater. Registreringene gjennomføres i løpet av ukene 5, 6 eller 7.</w:t>
      </w:r>
    </w:p>
    <w:p w:rsidR="007403E5" w:rsidRDefault="007403E5" w:rsidP="008477BF">
      <w:pPr>
        <w:tabs>
          <w:tab w:val="left" w:pos="938"/>
        </w:tabs>
      </w:pPr>
    </w:p>
    <w:p w:rsidR="007403E5" w:rsidRDefault="007403E5" w:rsidP="008477BF">
      <w:pPr>
        <w:tabs>
          <w:tab w:val="left" w:pos="938"/>
        </w:tabs>
      </w:pPr>
      <w:r>
        <w:t>Tellinger etter dette opplegget ble første gang gjennomført februar 1998. Fra 2009 begynte vi å supplere tellingene på bensinstasjonene i byene med tellinger på utvalgte parkerings-plasser/hus.</w:t>
      </w:r>
    </w:p>
    <w:p w:rsidR="007403E5" w:rsidRDefault="007403E5" w:rsidP="008477BF">
      <w:pPr>
        <w:pStyle w:val="Dokumenttekst"/>
        <w:tabs>
          <w:tab w:val="left" w:pos="938"/>
        </w:tabs>
      </w:pPr>
    </w:p>
    <w:p w:rsidR="007403E5" w:rsidRDefault="007403E5" w:rsidP="008477BF">
      <w:pPr>
        <w:pStyle w:val="Dokumenttekst"/>
        <w:tabs>
          <w:tab w:val="left" w:pos="938"/>
        </w:tabs>
        <w:rPr>
          <w:b/>
          <w:bCs/>
        </w:rPr>
      </w:pPr>
      <w:r>
        <w:rPr>
          <w:b/>
          <w:bCs/>
        </w:rPr>
        <w:t>4. Resultater fra undersøkelsen på landsbasis i 2013</w:t>
      </w:r>
    </w:p>
    <w:p w:rsidR="007403E5" w:rsidRDefault="007403E5" w:rsidP="008477BF">
      <w:pPr>
        <w:pStyle w:val="Dokumenttekst"/>
        <w:tabs>
          <w:tab w:val="left" w:pos="938"/>
        </w:tabs>
      </w:pPr>
      <w:r>
        <w:t xml:space="preserve">De resultatene som presenteres i dette kapitelet gjelder den </w:t>
      </w:r>
      <w:bookmarkStart w:id="15" w:name="OLE_LINK3"/>
      <w:r>
        <w:t xml:space="preserve">landsomfattende undersøkelsen </w:t>
      </w:r>
      <w:r>
        <w:rPr>
          <w:u w:val="single"/>
        </w:rPr>
        <w:t>utenfor de byer og byområder</w:t>
      </w:r>
      <w:bookmarkEnd w:id="15"/>
      <w:r>
        <w:t xml:space="preserve"> som er nevnt i punkt 3. </w:t>
      </w:r>
    </w:p>
    <w:p w:rsidR="007403E5" w:rsidRDefault="007403E5" w:rsidP="008477BF">
      <w:pPr>
        <w:pStyle w:val="Dokumenttekst"/>
        <w:tabs>
          <w:tab w:val="left" w:pos="938"/>
        </w:tabs>
      </w:pPr>
    </w:p>
    <w:p w:rsidR="007403E5" w:rsidRDefault="007403E5" w:rsidP="008477BF">
      <w:pPr>
        <w:tabs>
          <w:tab w:val="left" w:pos="938"/>
        </w:tabs>
      </w:pPr>
      <w:r>
        <w:t>Totalt ble det under årets undersøkelse registrert 10 143 lette og 1 309 tunge kjøretøy.</w:t>
      </w:r>
    </w:p>
    <w:p w:rsidR="007403E5" w:rsidRDefault="007403E5" w:rsidP="008477BF">
      <w:pPr>
        <w:tabs>
          <w:tab w:val="left" w:pos="938"/>
        </w:tabs>
      </w:pPr>
    </w:p>
    <w:p w:rsidR="007403E5" w:rsidRDefault="007403E5" w:rsidP="008477BF">
      <w:pPr>
        <w:tabs>
          <w:tab w:val="left" w:pos="938"/>
        </w:tabs>
      </w:pPr>
      <w:r>
        <w:t>Tabellen nedenfor viser andel piggfrie kjøretøy i % fordelt på lette og tunge kjøretøy for hele landet for årene 2010 til 2013.</w:t>
      </w:r>
    </w:p>
    <w:p w:rsidR="007403E5" w:rsidRDefault="007403E5" w:rsidP="008477BF">
      <w:pPr>
        <w:pStyle w:val="Dokumenttekst"/>
        <w:tabs>
          <w:tab w:val="left" w:pos="938"/>
        </w:tabs>
      </w:pPr>
    </w:p>
    <w:p w:rsidR="007403E5" w:rsidRDefault="007403E5" w:rsidP="008477BF">
      <w:pPr>
        <w:tabs>
          <w:tab w:val="left" w:pos="938"/>
        </w:tabs>
        <w:rPr>
          <w:b/>
          <w:bCs/>
        </w:rPr>
      </w:pPr>
      <w:r>
        <w:rPr>
          <w:b/>
          <w:bCs/>
        </w:rPr>
        <w:t>Tabell 1 – Andel piggfrie kjøretøy (%) *</w:t>
      </w: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A0"/>
      </w:tblPr>
      <w:tblGrid>
        <w:gridCol w:w="2314"/>
        <w:gridCol w:w="1915"/>
        <w:gridCol w:w="2394"/>
        <w:gridCol w:w="2554"/>
      </w:tblGrid>
      <w:tr w:rsidR="007403E5">
        <w:trPr>
          <w:trHeight w:val="570"/>
        </w:trPr>
        <w:tc>
          <w:tcPr>
            <w:tcW w:w="2314" w:type="dxa"/>
            <w:tcBorders>
              <w:top w:val="single" w:sz="12" w:space="0" w:color="000000"/>
              <w:bottom w:val="single" w:sz="6" w:space="0" w:color="000000"/>
              <w:right w:val="single" w:sz="6" w:space="0" w:color="000000"/>
            </w:tcBorders>
            <w:shd w:val="clear" w:color="auto" w:fill="C0C0C0"/>
          </w:tcPr>
          <w:p w:rsidR="007403E5" w:rsidRDefault="007403E5">
            <w:pPr>
              <w:tabs>
                <w:tab w:val="left" w:pos="938"/>
              </w:tabs>
              <w:jc w:val="center"/>
              <w:rPr>
                <w:b/>
                <w:bCs/>
              </w:rPr>
            </w:pPr>
            <w:r>
              <w:rPr>
                <w:b/>
                <w:bCs/>
              </w:rPr>
              <w:t>År</w:t>
            </w:r>
          </w:p>
        </w:tc>
        <w:tc>
          <w:tcPr>
            <w:tcW w:w="1915" w:type="dxa"/>
            <w:tcBorders>
              <w:top w:val="single" w:sz="12" w:space="0" w:color="000000"/>
              <w:left w:val="single" w:sz="6" w:space="0" w:color="000000"/>
              <w:bottom w:val="single" w:sz="6" w:space="0" w:color="000000"/>
              <w:right w:val="single" w:sz="6" w:space="0" w:color="000000"/>
            </w:tcBorders>
            <w:shd w:val="clear" w:color="auto" w:fill="C0C0C0"/>
          </w:tcPr>
          <w:p w:rsidR="007403E5" w:rsidRDefault="007403E5">
            <w:pPr>
              <w:tabs>
                <w:tab w:val="left" w:pos="938"/>
              </w:tabs>
              <w:jc w:val="center"/>
              <w:rPr>
                <w:b/>
                <w:bCs/>
              </w:rPr>
            </w:pPr>
            <w:r>
              <w:rPr>
                <w:b/>
                <w:bCs/>
              </w:rPr>
              <w:t>Andel piggfri lette</w:t>
            </w:r>
          </w:p>
        </w:tc>
        <w:tc>
          <w:tcPr>
            <w:tcW w:w="2394" w:type="dxa"/>
            <w:tcBorders>
              <w:top w:val="single" w:sz="12" w:space="0" w:color="000000"/>
              <w:left w:val="single" w:sz="6" w:space="0" w:color="000000"/>
              <w:bottom w:val="single" w:sz="6" w:space="0" w:color="000000"/>
              <w:right w:val="single" w:sz="6" w:space="0" w:color="000000"/>
            </w:tcBorders>
            <w:shd w:val="clear" w:color="auto" w:fill="C0C0C0"/>
          </w:tcPr>
          <w:p w:rsidR="007403E5" w:rsidRDefault="007403E5">
            <w:pPr>
              <w:tabs>
                <w:tab w:val="left" w:pos="938"/>
              </w:tabs>
              <w:jc w:val="center"/>
              <w:rPr>
                <w:b/>
                <w:bCs/>
              </w:rPr>
            </w:pPr>
            <w:r>
              <w:rPr>
                <w:b/>
                <w:bCs/>
              </w:rPr>
              <w:t>Andel piggfri tunge</w:t>
            </w:r>
          </w:p>
        </w:tc>
        <w:tc>
          <w:tcPr>
            <w:tcW w:w="2554" w:type="dxa"/>
            <w:tcBorders>
              <w:top w:val="single" w:sz="12" w:space="0" w:color="000000"/>
              <w:left w:val="single" w:sz="6" w:space="0" w:color="000000"/>
              <w:bottom w:val="single" w:sz="6" w:space="0" w:color="000000"/>
            </w:tcBorders>
            <w:shd w:val="clear" w:color="auto" w:fill="C0C0C0"/>
          </w:tcPr>
          <w:p w:rsidR="007403E5" w:rsidRDefault="007403E5">
            <w:pPr>
              <w:tabs>
                <w:tab w:val="left" w:pos="938"/>
              </w:tabs>
              <w:jc w:val="center"/>
              <w:rPr>
                <w:b/>
                <w:bCs/>
              </w:rPr>
            </w:pPr>
            <w:r>
              <w:rPr>
                <w:b/>
                <w:bCs/>
              </w:rPr>
              <w:t>Andel piggfri alle</w:t>
            </w:r>
          </w:p>
        </w:tc>
      </w:tr>
      <w:tr w:rsidR="007403E5">
        <w:trPr>
          <w:trHeight w:val="286"/>
        </w:trPr>
        <w:tc>
          <w:tcPr>
            <w:tcW w:w="2314" w:type="dxa"/>
            <w:tcBorders>
              <w:top w:val="single" w:sz="6" w:space="0" w:color="000000"/>
              <w:bottom w:val="single" w:sz="6" w:space="0" w:color="000000"/>
              <w:right w:val="single" w:sz="6" w:space="0" w:color="000000"/>
            </w:tcBorders>
          </w:tcPr>
          <w:p w:rsidR="007403E5" w:rsidRDefault="007403E5">
            <w:pPr>
              <w:tabs>
                <w:tab w:val="left" w:pos="938"/>
              </w:tabs>
              <w:jc w:val="center"/>
            </w:pPr>
            <w:r>
              <w:t>2010</w:t>
            </w:r>
          </w:p>
        </w:tc>
        <w:tc>
          <w:tcPr>
            <w:tcW w:w="1915"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46,2 %</w:t>
            </w:r>
          </w:p>
        </w:tc>
        <w:tc>
          <w:tcPr>
            <w:tcW w:w="2394"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64,1 %</w:t>
            </w:r>
          </w:p>
        </w:tc>
        <w:tc>
          <w:tcPr>
            <w:tcW w:w="2554" w:type="dxa"/>
            <w:tcBorders>
              <w:top w:val="single" w:sz="6" w:space="0" w:color="000000"/>
              <w:left w:val="single" w:sz="6" w:space="0" w:color="000000"/>
              <w:bottom w:val="single" w:sz="6" w:space="0" w:color="000000"/>
            </w:tcBorders>
          </w:tcPr>
          <w:p w:rsidR="007403E5" w:rsidRDefault="007403E5">
            <w:pPr>
              <w:tabs>
                <w:tab w:val="left" w:pos="938"/>
              </w:tabs>
              <w:jc w:val="center"/>
            </w:pPr>
            <w:r>
              <w:t>48,2 %</w:t>
            </w:r>
          </w:p>
        </w:tc>
      </w:tr>
      <w:tr w:rsidR="007403E5">
        <w:trPr>
          <w:trHeight w:val="286"/>
        </w:trPr>
        <w:tc>
          <w:tcPr>
            <w:tcW w:w="2314" w:type="dxa"/>
            <w:tcBorders>
              <w:top w:val="single" w:sz="6" w:space="0" w:color="000000"/>
              <w:bottom w:val="single" w:sz="6" w:space="0" w:color="000000"/>
              <w:right w:val="single" w:sz="6" w:space="0" w:color="000000"/>
            </w:tcBorders>
          </w:tcPr>
          <w:p w:rsidR="007403E5" w:rsidRDefault="007403E5">
            <w:pPr>
              <w:tabs>
                <w:tab w:val="left" w:pos="938"/>
              </w:tabs>
              <w:jc w:val="center"/>
            </w:pPr>
            <w:r>
              <w:t>2011</w:t>
            </w:r>
          </w:p>
        </w:tc>
        <w:tc>
          <w:tcPr>
            <w:tcW w:w="1915"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53,7 %</w:t>
            </w:r>
          </w:p>
        </w:tc>
        <w:tc>
          <w:tcPr>
            <w:tcW w:w="2394"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70,6 %</w:t>
            </w:r>
          </w:p>
        </w:tc>
        <w:tc>
          <w:tcPr>
            <w:tcW w:w="2554" w:type="dxa"/>
            <w:tcBorders>
              <w:top w:val="single" w:sz="6" w:space="0" w:color="000000"/>
              <w:left w:val="single" w:sz="6" w:space="0" w:color="000000"/>
              <w:bottom w:val="single" w:sz="6" w:space="0" w:color="000000"/>
            </w:tcBorders>
          </w:tcPr>
          <w:p w:rsidR="007403E5" w:rsidRDefault="007403E5">
            <w:pPr>
              <w:tabs>
                <w:tab w:val="left" w:pos="938"/>
              </w:tabs>
              <w:jc w:val="center"/>
            </w:pPr>
            <w:r>
              <w:t>55,5 %</w:t>
            </w:r>
          </w:p>
        </w:tc>
      </w:tr>
      <w:tr w:rsidR="007403E5">
        <w:trPr>
          <w:trHeight w:val="286"/>
        </w:trPr>
        <w:tc>
          <w:tcPr>
            <w:tcW w:w="2314" w:type="dxa"/>
            <w:tcBorders>
              <w:top w:val="single" w:sz="6" w:space="0" w:color="000000"/>
              <w:bottom w:val="single" w:sz="6" w:space="0" w:color="000000"/>
              <w:right w:val="single" w:sz="6" w:space="0" w:color="000000"/>
            </w:tcBorders>
          </w:tcPr>
          <w:p w:rsidR="007403E5" w:rsidRDefault="007403E5">
            <w:pPr>
              <w:tabs>
                <w:tab w:val="left" w:pos="938"/>
              </w:tabs>
              <w:jc w:val="center"/>
            </w:pPr>
            <w:r>
              <w:t>2012</w:t>
            </w:r>
          </w:p>
        </w:tc>
        <w:tc>
          <w:tcPr>
            <w:tcW w:w="1915"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 xml:space="preserve">57,1 % </w:t>
            </w:r>
          </w:p>
        </w:tc>
        <w:tc>
          <w:tcPr>
            <w:tcW w:w="2394" w:type="dxa"/>
            <w:tcBorders>
              <w:top w:val="single" w:sz="6" w:space="0" w:color="000000"/>
              <w:left w:val="single" w:sz="6" w:space="0" w:color="000000"/>
              <w:bottom w:val="single" w:sz="6" w:space="0" w:color="000000"/>
              <w:right w:val="single" w:sz="6" w:space="0" w:color="000000"/>
            </w:tcBorders>
          </w:tcPr>
          <w:p w:rsidR="007403E5" w:rsidRDefault="007403E5">
            <w:pPr>
              <w:tabs>
                <w:tab w:val="left" w:pos="938"/>
              </w:tabs>
              <w:jc w:val="center"/>
            </w:pPr>
            <w:r>
              <w:t>76,6 %</w:t>
            </w:r>
          </w:p>
        </w:tc>
        <w:tc>
          <w:tcPr>
            <w:tcW w:w="2554" w:type="dxa"/>
            <w:tcBorders>
              <w:top w:val="single" w:sz="6" w:space="0" w:color="000000"/>
              <w:left w:val="single" w:sz="6" w:space="0" w:color="000000"/>
              <w:bottom w:val="single" w:sz="6" w:space="0" w:color="000000"/>
            </w:tcBorders>
          </w:tcPr>
          <w:p w:rsidR="007403E5" w:rsidRDefault="007403E5">
            <w:pPr>
              <w:tabs>
                <w:tab w:val="left" w:pos="938"/>
              </w:tabs>
              <w:jc w:val="center"/>
            </w:pPr>
            <w:r>
              <w:t>59,7 %</w:t>
            </w:r>
          </w:p>
        </w:tc>
      </w:tr>
      <w:tr w:rsidR="007403E5">
        <w:trPr>
          <w:trHeight w:val="293"/>
        </w:trPr>
        <w:tc>
          <w:tcPr>
            <w:tcW w:w="2314" w:type="dxa"/>
            <w:tcBorders>
              <w:top w:val="single" w:sz="6" w:space="0" w:color="000000"/>
              <w:bottom w:val="single" w:sz="12" w:space="0" w:color="000000"/>
              <w:right w:val="single" w:sz="6" w:space="0" w:color="000000"/>
            </w:tcBorders>
          </w:tcPr>
          <w:p w:rsidR="007403E5" w:rsidRDefault="007403E5">
            <w:pPr>
              <w:tabs>
                <w:tab w:val="left" w:pos="938"/>
              </w:tabs>
              <w:jc w:val="center"/>
            </w:pPr>
            <w:r>
              <w:t>2013</w:t>
            </w:r>
          </w:p>
        </w:tc>
        <w:tc>
          <w:tcPr>
            <w:tcW w:w="1915" w:type="dxa"/>
            <w:tcBorders>
              <w:top w:val="single" w:sz="6" w:space="0" w:color="000000"/>
              <w:left w:val="single" w:sz="6" w:space="0" w:color="000000"/>
              <w:bottom w:val="single" w:sz="12" w:space="0" w:color="000000"/>
              <w:right w:val="single" w:sz="6" w:space="0" w:color="000000"/>
            </w:tcBorders>
          </w:tcPr>
          <w:p w:rsidR="007403E5" w:rsidRDefault="007403E5">
            <w:pPr>
              <w:tabs>
                <w:tab w:val="left" w:pos="938"/>
              </w:tabs>
              <w:jc w:val="center"/>
            </w:pPr>
            <w:r>
              <w:t>56,6 %</w:t>
            </w:r>
          </w:p>
        </w:tc>
        <w:tc>
          <w:tcPr>
            <w:tcW w:w="2394" w:type="dxa"/>
            <w:tcBorders>
              <w:top w:val="single" w:sz="6" w:space="0" w:color="000000"/>
              <w:left w:val="single" w:sz="6" w:space="0" w:color="000000"/>
              <w:bottom w:val="single" w:sz="12" w:space="0" w:color="000000"/>
              <w:right w:val="single" w:sz="6" w:space="0" w:color="000000"/>
            </w:tcBorders>
          </w:tcPr>
          <w:p w:rsidR="007403E5" w:rsidRDefault="007403E5">
            <w:pPr>
              <w:tabs>
                <w:tab w:val="left" w:pos="938"/>
              </w:tabs>
              <w:jc w:val="center"/>
            </w:pPr>
            <w:r>
              <w:t>74,9 %</w:t>
            </w:r>
          </w:p>
        </w:tc>
        <w:tc>
          <w:tcPr>
            <w:tcW w:w="2554" w:type="dxa"/>
            <w:tcBorders>
              <w:top w:val="single" w:sz="6" w:space="0" w:color="000000"/>
              <w:left w:val="single" w:sz="6" w:space="0" w:color="000000"/>
              <w:bottom w:val="single" w:sz="12" w:space="0" w:color="000000"/>
            </w:tcBorders>
          </w:tcPr>
          <w:p w:rsidR="007403E5" w:rsidRDefault="007403E5">
            <w:pPr>
              <w:tabs>
                <w:tab w:val="left" w:pos="938"/>
              </w:tabs>
              <w:jc w:val="center"/>
            </w:pPr>
            <w:r>
              <w:t>58,5 %</w:t>
            </w:r>
          </w:p>
        </w:tc>
      </w:tr>
    </w:tbl>
    <w:p w:rsidR="007403E5" w:rsidRDefault="007403E5" w:rsidP="008477BF">
      <w:pPr>
        <w:tabs>
          <w:tab w:val="left" w:pos="938"/>
        </w:tabs>
      </w:pPr>
      <w:r>
        <w:t>* Vektet med trafikkarbeid</w:t>
      </w:r>
    </w:p>
    <w:p w:rsidR="007403E5" w:rsidRDefault="007403E5" w:rsidP="008477BF">
      <w:pPr>
        <w:tabs>
          <w:tab w:val="left" w:pos="938"/>
        </w:tabs>
      </w:pPr>
    </w:p>
    <w:p w:rsidR="007403E5" w:rsidRDefault="007403E5" w:rsidP="008477BF">
      <w:pPr>
        <w:pStyle w:val="Dokumenttekst"/>
        <w:tabs>
          <w:tab w:val="left" w:pos="938"/>
        </w:tabs>
        <w:rPr>
          <w:b/>
          <w:bCs/>
        </w:rPr>
      </w:pPr>
      <w:r>
        <w:rPr>
          <w:b/>
          <w:bCs/>
        </w:rPr>
        <w:t>Tabell 2 – Piggdekkandeler 2013 for hver region</w:t>
      </w:r>
    </w:p>
    <w:p w:rsidR="007403E5" w:rsidRDefault="007403E5" w:rsidP="008477BF">
      <w:pPr>
        <w:pStyle w:val="Dokumenttekst"/>
        <w:tabs>
          <w:tab w:val="left" w:pos="938"/>
        </w:tabs>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56pt;height:90pt">
            <v:imagedata r:id="rId7" r:href="rId8"/>
          </v:shape>
        </w:pict>
      </w:r>
    </w:p>
    <w:p w:rsidR="007403E5" w:rsidRDefault="007403E5" w:rsidP="008477BF">
      <w:pPr>
        <w:pStyle w:val="Dokumenttekst"/>
        <w:tabs>
          <w:tab w:val="left" w:pos="938"/>
        </w:tabs>
        <w:rPr>
          <w:b/>
          <w:bCs/>
        </w:rPr>
      </w:pPr>
    </w:p>
    <w:p w:rsidR="007403E5" w:rsidRDefault="007403E5" w:rsidP="008477BF">
      <w:pPr>
        <w:pStyle w:val="Dokumenttekst"/>
        <w:tabs>
          <w:tab w:val="left" w:pos="938"/>
        </w:tabs>
      </w:pPr>
      <w:r>
        <w:t xml:space="preserve">For å se hvor stor del av trafikkarbeidet som foregår med piggfrie dekk, er regionsandelene vektet med regionenes andel av trafikkarbeidet i Norge. </w:t>
      </w:r>
    </w:p>
    <w:p w:rsidR="007403E5" w:rsidRDefault="007403E5" w:rsidP="008477BF">
      <w:pPr>
        <w:pStyle w:val="Dokumenttekst"/>
        <w:tabs>
          <w:tab w:val="left" w:pos="938"/>
        </w:tabs>
        <w:rPr>
          <w:b/>
          <w:bCs/>
        </w:rPr>
      </w:pPr>
    </w:p>
    <w:p w:rsidR="007403E5" w:rsidRDefault="007403E5" w:rsidP="008477BF">
      <w:pPr>
        <w:pStyle w:val="Dokumenttekst"/>
        <w:tabs>
          <w:tab w:val="left" w:pos="938"/>
        </w:tabs>
      </w:pPr>
      <w:r>
        <w:t>Figurene 1, 2 og 3 viser piggfriandelen fordelt på regionene.</w:t>
      </w:r>
    </w:p>
    <w:p w:rsidR="007403E5" w:rsidRDefault="007403E5" w:rsidP="008477BF">
      <w:pPr>
        <w:pStyle w:val="Dokumenttekst"/>
        <w:tabs>
          <w:tab w:val="left" w:pos="938"/>
        </w:tabs>
        <w:rPr>
          <w:b/>
          <w:bCs/>
        </w:rPr>
      </w:pPr>
      <w:r>
        <w:rPr>
          <w:b/>
          <w:bCs/>
        </w:rPr>
        <w:t>Figur 1 – Piggfriandel lette kjøretøy (Regionsvis)</w:t>
      </w:r>
    </w:p>
    <w:p w:rsidR="007403E5" w:rsidRDefault="007403E5" w:rsidP="008477BF">
      <w:pPr>
        <w:tabs>
          <w:tab w:val="left" w:pos="938"/>
        </w:tabs>
        <w:rPr>
          <w:rFonts w:ascii="Arial" w:hAnsi="Arial" w:cs="Arial"/>
          <w:b/>
          <w:bCs/>
          <w:sz w:val="20"/>
          <w:szCs w:val="20"/>
          <w:lang w:eastAsia="nb-NO"/>
        </w:rPr>
      </w:pPr>
      <w:r>
        <w:pict>
          <v:shape id="_x0000_i1028" type="#_x0000_t75" style="width:420pt;height:170.25pt">
            <v:imagedata r:id="rId9" o:title=""/>
          </v:shape>
        </w:pict>
      </w:r>
    </w:p>
    <w:p w:rsidR="007403E5" w:rsidRDefault="007403E5" w:rsidP="008477BF">
      <w:pPr>
        <w:tabs>
          <w:tab w:val="left" w:pos="938"/>
        </w:tabs>
        <w:rPr>
          <w:rFonts w:ascii="Arial" w:hAnsi="Arial" w:cs="Arial"/>
          <w:b/>
          <w:bCs/>
          <w:sz w:val="20"/>
          <w:szCs w:val="20"/>
          <w:lang w:eastAsia="nb-NO"/>
        </w:rPr>
      </w:pPr>
    </w:p>
    <w:p w:rsidR="007403E5" w:rsidRDefault="007403E5" w:rsidP="008477BF">
      <w:pPr>
        <w:tabs>
          <w:tab w:val="left" w:pos="938"/>
        </w:tabs>
        <w:rPr>
          <w:b/>
          <w:bCs/>
          <w:lang w:eastAsia="nb-NO"/>
        </w:rPr>
      </w:pPr>
      <w:r>
        <w:rPr>
          <w:b/>
          <w:bCs/>
          <w:lang w:eastAsia="nb-NO"/>
        </w:rPr>
        <w:t xml:space="preserve">Figur 2 - Piggfriandel tunge kjøretøy </w:t>
      </w:r>
      <w:r>
        <w:rPr>
          <w:b/>
          <w:bCs/>
        </w:rPr>
        <w:t>(Regionsvis)</w:t>
      </w:r>
    </w:p>
    <w:p w:rsidR="007403E5" w:rsidRDefault="007403E5" w:rsidP="008477BF">
      <w:pPr>
        <w:pStyle w:val="Dokumenttekst"/>
        <w:tabs>
          <w:tab w:val="left" w:pos="938"/>
        </w:tabs>
        <w:rPr>
          <w:b/>
          <w:bCs/>
        </w:rPr>
      </w:pPr>
      <w:r>
        <w:pict>
          <v:shape id="_x0000_i1029" type="#_x0000_t75" style="width:420pt;height:167.25pt">
            <v:imagedata r:id="rId10" o:title=""/>
          </v:shape>
        </w:pict>
      </w:r>
    </w:p>
    <w:p w:rsidR="007403E5" w:rsidRDefault="007403E5" w:rsidP="008477BF">
      <w:pPr>
        <w:pStyle w:val="Dokumenttekst"/>
        <w:tabs>
          <w:tab w:val="left" w:pos="938"/>
        </w:tabs>
        <w:rPr>
          <w:b/>
          <w:bCs/>
          <w:lang w:eastAsia="nb-NO"/>
        </w:rPr>
      </w:pPr>
    </w:p>
    <w:p w:rsidR="007403E5" w:rsidRDefault="007403E5" w:rsidP="008477BF">
      <w:pPr>
        <w:pStyle w:val="Dokumenttekst"/>
        <w:tabs>
          <w:tab w:val="left" w:pos="938"/>
        </w:tabs>
        <w:rPr>
          <w:b/>
          <w:bCs/>
          <w:lang w:eastAsia="nb-NO"/>
        </w:rPr>
      </w:pPr>
    </w:p>
    <w:p w:rsidR="007403E5" w:rsidRDefault="007403E5" w:rsidP="008477BF">
      <w:pPr>
        <w:pStyle w:val="Dokumenttekst"/>
        <w:tabs>
          <w:tab w:val="left" w:pos="938"/>
        </w:tabs>
        <w:rPr>
          <w:b/>
          <w:bCs/>
          <w:lang w:eastAsia="nb-NO"/>
        </w:rPr>
      </w:pPr>
      <w:r>
        <w:rPr>
          <w:b/>
          <w:bCs/>
          <w:lang w:eastAsia="nb-NO"/>
        </w:rPr>
        <w:t xml:space="preserve">Figur 3 - Piggfriandel alle kjøretøy </w:t>
      </w:r>
      <w:r>
        <w:rPr>
          <w:b/>
          <w:bCs/>
        </w:rPr>
        <w:t>(Regionsvis)</w:t>
      </w:r>
    </w:p>
    <w:p w:rsidR="007403E5" w:rsidRDefault="007403E5" w:rsidP="008477BF">
      <w:pPr>
        <w:pStyle w:val="Dokumenttekst"/>
        <w:tabs>
          <w:tab w:val="left" w:pos="938"/>
        </w:tabs>
      </w:pPr>
      <w:r>
        <w:pict>
          <v:shape id="_x0000_i1030" type="#_x0000_t75" style="width:420pt;height:172.5pt">
            <v:imagedata r:id="rId11" o:title=""/>
          </v:shape>
        </w:pict>
      </w:r>
    </w:p>
    <w:p w:rsidR="007403E5" w:rsidRDefault="007403E5" w:rsidP="008477BF">
      <w:pPr>
        <w:pStyle w:val="Dokumenttekst"/>
        <w:tabs>
          <w:tab w:val="left" w:pos="938"/>
        </w:tabs>
      </w:pPr>
    </w:p>
    <w:p w:rsidR="007403E5" w:rsidRDefault="007403E5" w:rsidP="008477BF">
      <w:pPr>
        <w:pStyle w:val="Dokumenttekst"/>
        <w:tabs>
          <w:tab w:val="left" w:pos="938"/>
        </w:tabs>
      </w:pPr>
      <w:r>
        <w:t xml:space="preserve">Den landsomfattende undersøkelsen, </w:t>
      </w:r>
      <w:r>
        <w:rPr>
          <w:u w:val="single"/>
        </w:rPr>
        <w:t>utenfor de store byene og byområdene</w:t>
      </w:r>
      <w:r>
        <w:t>, viser en liten nedgang i piggfriandelen i forhold til 2012. For lette kjøretøyer er det en nedgang på 0,5 prosentpoeng og for tunge kjøretøyer en nedgang på 1,7 prosentpoeng. Dette gir en nedgang på 1,2 prosentpoeng for landet totalt.</w:t>
      </w:r>
    </w:p>
    <w:p w:rsidR="007403E5" w:rsidRDefault="007403E5" w:rsidP="008477BF">
      <w:pPr>
        <w:pStyle w:val="Dokumenttekst"/>
        <w:tabs>
          <w:tab w:val="left" w:pos="938"/>
        </w:tabs>
        <w:rPr>
          <w:b/>
          <w:bCs/>
        </w:rPr>
      </w:pPr>
    </w:p>
    <w:p w:rsidR="007403E5" w:rsidRDefault="007403E5" w:rsidP="008477BF">
      <w:pPr>
        <w:pStyle w:val="Dokumenttekst"/>
        <w:rPr>
          <w:b/>
          <w:bCs/>
        </w:rPr>
      </w:pPr>
      <w:r>
        <w:rPr>
          <w:b/>
          <w:bCs/>
        </w:rPr>
        <w:t>5. Utvidet undersøkelse om bruk av piggdekk i byer og byområder</w:t>
      </w:r>
    </w:p>
    <w:p w:rsidR="007403E5" w:rsidRDefault="007403E5" w:rsidP="008477BF">
      <w:r>
        <w:t>Vegstøv er den viktigste enkeltfaktoren som forårsaker overskridelse av grenseverdiene for lokal luftkvalitet mht svevestøv (PM</w:t>
      </w:r>
      <w:r>
        <w:rPr>
          <w:vertAlign w:val="subscript"/>
        </w:rPr>
        <w:t>10</w:t>
      </w:r>
      <w:r>
        <w:t>). I piggdekksesongen kan biler som kjører med piggdekk skape store mengder PM</w:t>
      </w:r>
      <w:r>
        <w:rPr>
          <w:vertAlign w:val="subscript"/>
        </w:rPr>
        <w:t>10</w:t>
      </w:r>
      <w:r>
        <w:t xml:space="preserve"> særlig når været er mildt, det er lite vind og vegbanen er tørr. I byer hvor folk bor tett inntil vegen skaper dette konflikt. Vi har sett at problemene med vegstøv reduseres betraktelig når piggfriandelen øker. Stortinget har satt 80 prosent piggfritt som mål for de største byene. Bergen kommune har satt 90 % som mål, mens Oslo har vedtatt varig bruk av piggdekkgebyr. </w:t>
      </w:r>
    </w:p>
    <w:p w:rsidR="007403E5" w:rsidRDefault="007403E5" w:rsidP="008477BF"/>
    <w:p w:rsidR="007403E5" w:rsidRDefault="007403E5" w:rsidP="008477BF">
      <w:pPr>
        <w:pStyle w:val="Dokumenttekst"/>
      </w:pPr>
      <w:r>
        <w:rPr>
          <w:b/>
          <w:bCs/>
        </w:rPr>
        <w:t>6. Resultater fra undersøkelsen i byene og byområdene 2013</w:t>
      </w:r>
    </w:p>
    <w:p w:rsidR="007403E5" w:rsidRDefault="007403E5" w:rsidP="008477BF">
      <w:pPr>
        <w:pStyle w:val="Dokumenttekst"/>
      </w:pPr>
      <w:r>
        <w:rPr>
          <w:lang w:val="nn-NO"/>
        </w:rPr>
        <w:t xml:space="preserve">Oslo og Bergen er landets mest piggfrie byer. </w:t>
      </w:r>
      <w:r>
        <w:t xml:space="preserve">Tellinger viser at hhv 86 og 85 prosent av bilene kjører med piggfrie dekk i 2013. </w:t>
      </w:r>
    </w:p>
    <w:p w:rsidR="007403E5" w:rsidRDefault="007403E5" w:rsidP="008477BF">
      <w:pPr>
        <w:pStyle w:val="Dokumenttekst"/>
      </w:pPr>
    </w:p>
    <w:p w:rsidR="007403E5" w:rsidRDefault="007403E5" w:rsidP="008477BF">
      <w:pPr>
        <w:pStyle w:val="Dokumenttekst"/>
      </w:pPr>
      <w:r>
        <w:t>Asker/Bærum og Drammen følger bak med hhv 82 og 81 prosent med Fredrikstad/Sarpsborg (79) og Stavanger/Sandnes (75) på plassene bak.</w:t>
      </w:r>
    </w:p>
    <w:p w:rsidR="007403E5" w:rsidRDefault="007403E5" w:rsidP="008477BF">
      <w:pPr>
        <w:pStyle w:val="Dokumenttekst"/>
      </w:pPr>
    </w:p>
    <w:p w:rsidR="007403E5" w:rsidRDefault="007403E5" w:rsidP="008477BF">
      <w:pPr>
        <w:pStyle w:val="Dokumenttekst"/>
      </w:pPr>
      <w:r>
        <w:t>Tellingene i Trondheim viser en nedgang på piggfriandelen på 6 prosentpoeng, noe som kan forklares med at de av gått bort fra bruk av piggdekkavgift. For Kristiansand og Hamar viser tellingene en nedgang i piggfriandelen på 10 prosentpoeng. I februar 2013 var derfor piggfriandelen i Trondheim 65 %, Kristiansand 60 % og Hamar 49 %. Skien/Porsgrunn har økt sin piggfriandel med 8 prosentpoeng og ligger nå på 63 %.</w:t>
      </w:r>
    </w:p>
    <w:p w:rsidR="007403E5" w:rsidRDefault="007403E5" w:rsidP="008477BF">
      <w:pPr>
        <w:pStyle w:val="Dokumenttekst"/>
      </w:pPr>
    </w:p>
    <w:p w:rsidR="007403E5" w:rsidRDefault="007403E5" w:rsidP="008477BF">
      <w:pPr>
        <w:pStyle w:val="Dokumenttekst"/>
      </w:pPr>
      <w:r>
        <w:t>Det er fortsatt noen byer som henger litt igjen; Tromsø med kun 14 %, Ålesund med 49 % og Lillehammer med 47 % piggfrie dekk.</w:t>
      </w:r>
    </w:p>
    <w:p w:rsidR="007403E5" w:rsidRDefault="007403E5" w:rsidP="008477BF">
      <w:pPr>
        <w:pStyle w:val="Dokumenttekst"/>
      </w:pPr>
    </w:p>
    <w:p w:rsidR="007403E5" w:rsidRDefault="007403E5" w:rsidP="008477BF">
      <w:pPr>
        <w:pStyle w:val="Dokumenttekst"/>
      </w:pPr>
      <w:r>
        <w:t>Resultatene fra registreringene i de største byene og byområdene er presentert i tabell 3.</w:t>
      </w:r>
    </w:p>
    <w:p w:rsidR="007403E5" w:rsidRDefault="007403E5" w:rsidP="008477BF">
      <w:pPr>
        <w:pStyle w:val="Dokumenttekst"/>
      </w:pPr>
    </w:p>
    <w:p w:rsidR="007403E5" w:rsidRDefault="007403E5" w:rsidP="008477BF">
      <w:pPr>
        <w:pStyle w:val="Dokumenttekst"/>
        <w:rPr>
          <w:b/>
          <w:bCs/>
        </w:rPr>
      </w:pPr>
      <w:r>
        <w:rPr>
          <w:b/>
          <w:bCs/>
        </w:rPr>
        <w:t>Tabell 3 – Piggfriandelen i prosent i byer og byområder 2013</w:t>
      </w:r>
    </w:p>
    <w:tbl>
      <w:tblPr>
        <w:tblW w:w="6564" w:type="dxa"/>
        <w:tblInd w:w="55" w:type="dxa"/>
        <w:tblCellMar>
          <w:left w:w="0" w:type="dxa"/>
          <w:right w:w="0" w:type="dxa"/>
        </w:tblCellMar>
        <w:tblLook w:val="00A0"/>
      </w:tblPr>
      <w:tblGrid>
        <w:gridCol w:w="2740"/>
        <w:gridCol w:w="1512"/>
        <w:gridCol w:w="2312"/>
      </w:tblGrid>
      <w:tr w:rsidR="007403E5">
        <w:trPr>
          <w:trHeight w:val="300"/>
        </w:trPr>
        <w:tc>
          <w:tcPr>
            <w:tcW w:w="274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tcPr>
          <w:p w:rsidR="007403E5" w:rsidRDefault="007403E5">
            <w:pPr>
              <w:rPr>
                <w:sz w:val="20"/>
                <w:szCs w:val="20"/>
                <w:lang w:eastAsia="nb-NO"/>
              </w:rPr>
            </w:pPr>
          </w:p>
        </w:tc>
        <w:tc>
          <w:tcPr>
            <w:tcW w:w="1512"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Piggfri-andel 2013 (%)</w:t>
            </w:r>
          </w:p>
        </w:tc>
        <w:tc>
          <w:tcPr>
            <w:tcW w:w="2312" w:type="dxa"/>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 xml:space="preserve">Endring </w:t>
            </w:r>
            <w:r>
              <w:rPr>
                <w:color w:val="000000"/>
                <w:lang w:eastAsia="nb-NO"/>
              </w:rPr>
              <w:br/>
              <w:t>2012-2013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Oslo</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86 %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Bergen</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85 %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2 %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Asker og Bærum</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82 %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-2 %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Drammen</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81 %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4 %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Fredrikstad og Sarpsborg</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79 %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6 %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Stavanger og Sandnes</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75 %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3 %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Trondheim</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rsidP="0066749A">
            <w:pPr>
              <w:pStyle w:val="ListParagraph"/>
              <w:numPr>
                <w:ilvl w:val="0"/>
                <w:numId w:val="1"/>
              </w:numPr>
              <w:rPr>
                <w:color w:val="000000"/>
                <w:lang w:eastAsia="nb-NO"/>
              </w:rPr>
            </w:pPr>
            <w:r>
              <w:rPr>
                <w:color w:val="000000"/>
                <w:lang w:eastAsia="nb-NO"/>
              </w:rPr>
              <w:t>%</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ind w:left="360"/>
              <w:rPr>
                <w:rFonts w:ascii="Calibri" w:hAnsi="Calibri" w:cs="Calibri"/>
                <w:color w:val="000000"/>
                <w:lang w:eastAsia="nb-NO"/>
              </w:rPr>
            </w:pPr>
            <w:r>
              <w:rPr>
                <w:color w:val="000000"/>
                <w:lang w:eastAsia="nb-NO"/>
              </w:rPr>
              <w:t>         -6 %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Skien og Porsgrunn</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63 %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8 %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Kristiansand</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60 %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-10 %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Hamar</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49 %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-10 %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Ålesund</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49 %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10 %</w:t>
            </w:r>
          </w:p>
        </w:tc>
      </w:tr>
      <w:tr w:rsidR="007403E5">
        <w:trPr>
          <w:trHeight w:val="300"/>
        </w:trPr>
        <w:tc>
          <w:tcPr>
            <w:tcW w:w="2740" w:type="dxa"/>
            <w:tcBorders>
              <w:top w:val="nil"/>
              <w:left w:val="single" w:sz="8" w:space="0" w:color="auto"/>
              <w:bottom w:val="nil"/>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Lillehammer</w:t>
            </w:r>
          </w:p>
        </w:tc>
        <w:tc>
          <w:tcPr>
            <w:tcW w:w="15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47 %</w:t>
            </w:r>
          </w:p>
        </w:tc>
        <w:tc>
          <w:tcPr>
            <w:tcW w:w="2312" w:type="dxa"/>
            <w:tcBorders>
              <w:top w:val="nil"/>
              <w:left w:val="nil"/>
              <w:bottom w:val="nil"/>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2 %</w:t>
            </w:r>
          </w:p>
        </w:tc>
      </w:tr>
      <w:tr w:rsidR="007403E5">
        <w:trPr>
          <w:trHeight w:val="300"/>
        </w:trPr>
        <w:tc>
          <w:tcPr>
            <w:tcW w:w="274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7403E5" w:rsidRDefault="007403E5">
            <w:pPr>
              <w:rPr>
                <w:rFonts w:ascii="Calibri" w:hAnsi="Calibri" w:cs="Calibri"/>
                <w:color w:val="000000"/>
                <w:lang w:eastAsia="nb-NO"/>
              </w:rPr>
            </w:pPr>
            <w:r>
              <w:rPr>
                <w:color w:val="000000"/>
                <w:lang w:eastAsia="nb-NO"/>
              </w:rPr>
              <w:t>Tromsø</w:t>
            </w:r>
          </w:p>
        </w:tc>
        <w:tc>
          <w:tcPr>
            <w:tcW w:w="151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14 %</w:t>
            </w:r>
          </w:p>
        </w:tc>
        <w:tc>
          <w:tcPr>
            <w:tcW w:w="2312"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7403E5" w:rsidRDefault="007403E5">
            <w:pPr>
              <w:jc w:val="center"/>
              <w:rPr>
                <w:rFonts w:ascii="Calibri" w:hAnsi="Calibri" w:cs="Calibri"/>
                <w:color w:val="000000"/>
                <w:lang w:eastAsia="nb-NO"/>
              </w:rPr>
            </w:pPr>
            <w:r>
              <w:rPr>
                <w:color w:val="000000"/>
                <w:lang w:eastAsia="nb-NO"/>
              </w:rPr>
              <w:t>1 %</w:t>
            </w:r>
          </w:p>
        </w:tc>
      </w:tr>
    </w:tbl>
    <w:p w:rsidR="007403E5" w:rsidRDefault="007403E5" w:rsidP="008477BF">
      <w:pPr>
        <w:pStyle w:val="Dokumenttekst"/>
        <w:rPr>
          <w:b/>
          <w:bCs/>
        </w:rPr>
      </w:pPr>
    </w:p>
    <w:p w:rsidR="007403E5" w:rsidRDefault="007403E5" w:rsidP="008477BF">
      <w:pPr>
        <w:pStyle w:val="Dokumenttekst"/>
      </w:pPr>
      <w:r>
        <w:rPr>
          <w:b/>
          <w:bCs/>
        </w:rPr>
        <w:br w:type="page"/>
        <w:t>7. Måloppnåelse</w:t>
      </w:r>
    </w:p>
    <w:p w:rsidR="007403E5" w:rsidRDefault="007403E5" w:rsidP="008477BF">
      <w:pPr>
        <w:pStyle w:val="Dokumenttekst"/>
      </w:pPr>
      <w:r>
        <w:t xml:space="preserve">Det er de samme tellepunktene som brukes hvert år og tellingen gir derfor et godt bilde på hvordan piggfriandelen endrer seg fra år til år over tid. </w:t>
      </w:r>
    </w:p>
    <w:p w:rsidR="007403E5" w:rsidRDefault="007403E5" w:rsidP="008477BF">
      <w:pPr>
        <w:pStyle w:val="Dokumenttekst"/>
      </w:pPr>
    </w:p>
    <w:p w:rsidR="007403E5" w:rsidRDefault="007403E5" w:rsidP="008477BF">
      <w:pPr>
        <w:pStyle w:val="Dokumenttekst"/>
      </w:pPr>
      <w:r>
        <w:t xml:space="preserve">For piggdekkbruk i store byer og byområder har Stortinget satt 80 % piggfritt som operativt mål. Det er kun Oslo, Bergen, Asker/Bærum og Drammen som har nådd dette målet. I tillegg har kommunene Oslo og Bergen vedtatt et enda høyere mål. </w:t>
      </w:r>
    </w:p>
    <w:p w:rsidR="007403E5" w:rsidRDefault="007403E5" w:rsidP="000B1E65">
      <w:pPr>
        <w:pStyle w:val="Dokumenttekst"/>
      </w:pPr>
    </w:p>
    <w:tbl>
      <w:tblPr>
        <w:tblW w:w="0" w:type="auto"/>
        <w:tblLayout w:type="fixed"/>
        <w:tblCellMar>
          <w:left w:w="70" w:type="dxa"/>
          <w:right w:w="70" w:type="dxa"/>
        </w:tblCellMar>
        <w:tblLook w:val="0000"/>
      </w:tblPr>
      <w:tblGrid>
        <w:gridCol w:w="8717"/>
      </w:tblGrid>
      <w:tr w:rsidR="007403E5" w:rsidRPr="000B1E65">
        <w:tc>
          <w:tcPr>
            <w:tcW w:w="8717" w:type="dxa"/>
          </w:tcPr>
          <w:p w:rsidR="007403E5" w:rsidRPr="000B1E65" w:rsidRDefault="007403E5" w:rsidP="000B1E65">
            <w:pPr>
              <w:pStyle w:val="Dokumenttekst"/>
            </w:pPr>
            <w:bookmarkStart w:id="16" w:name="vedlegg" w:colFirst="0" w:colLast="0"/>
          </w:p>
        </w:tc>
      </w:tr>
      <w:bookmarkEnd w:id="16"/>
    </w:tbl>
    <w:p w:rsidR="007403E5" w:rsidRPr="000B1E65" w:rsidRDefault="007403E5" w:rsidP="00EF4DE6"/>
    <w:sectPr w:rsidR="007403E5" w:rsidRPr="000B1E65" w:rsidSect="00EF4DE6">
      <w:headerReference w:type="even" r:id="rId12"/>
      <w:headerReference w:type="default" r:id="rId13"/>
      <w:headerReference w:type="first" r:id="rId14"/>
      <w:footerReference w:type="first" r:id="rId15"/>
      <w:type w:val="continuous"/>
      <w:pgSz w:w="11907" w:h="16840" w:code="9"/>
      <w:pgMar w:top="1276" w:right="1417" w:bottom="1276" w:left="1418" w:header="851" w:footer="113" w:gutter="0"/>
      <w:paperSrc w:first="15" w:other="15"/>
      <w:cols w:space="708"/>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3E5" w:rsidRPr="000B1E65" w:rsidRDefault="007403E5">
      <w:r w:rsidRPr="000B1E65">
        <w:separator/>
      </w:r>
    </w:p>
  </w:endnote>
  <w:endnote w:type="continuationSeparator" w:id="0">
    <w:p w:rsidR="007403E5" w:rsidRPr="000B1E65" w:rsidRDefault="007403E5">
      <w:r w:rsidRPr="000B1E65">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umnst777 Blk BT">
    <w:altName w:val="Franklin Gothic Heavy"/>
    <w:panose1 w:val="020B080303050403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umnst777 BT">
    <w:altName w:val="Lucida Sans Unicode"/>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E5" w:rsidRPr="000B1E65" w:rsidRDefault="007403E5"/>
  <w:tbl>
    <w:tblPr>
      <w:tblW w:w="10188" w:type="dxa"/>
      <w:tblLook w:val="0000"/>
    </w:tblPr>
    <w:tblGrid>
      <w:gridCol w:w="2628"/>
      <w:gridCol w:w="2700"/>
      <w:gridCol w:w="2700"/>
      <w:gridCol w:w="2160"/>
    </w:tblGrid>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19" w:name="BTK1R1" w:colFirst="0" w:colLast="0"/>
          <w:bookmarkStart w:id="20" w:name="BTK2R1" w:colFirst="1" w:colLast="1"/>
          <w:bookmarkStart w:id="21" w:name="BTK3R1" w:colFirst="2" w:colLast="2"/>
          <w:bookmarkStart w:id="22" w:name="BTK4R1" w:colFirst="3" w:colLast="3"/>
          <w:r w:rsidRPr="000B1E65">
            <w:rPr>
              <w:rFonts w:ascii="Humnst777 BT" w:hAnsi="Humnst777 BT" w:cs="Humnst777 BT"/>
              <w:sz w:val="14"/>
              <w:szCs w:val="14"/>
            </w:rPr>
            <w:t>Postadresse</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Telefon: 02030</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Kontoradresse</w:t>
          </w: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Fakturaadresse</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23" w:name="BTK1R2" w:colFirst="0" w:colLast="0"/>
          <w:bookmarkStart w:id="24" w:name="BTK2R2" w:colFirst="1" w:colLast="1"/>
          <w:bookmarkStart w:id="25" w:name="BTK3R2" w:colFirst="2" w:colLast="2"/>
          <w:bookmarkStart w:id="26" w:name="BTK4R2" w:colFirst="3" w:colLast="3"/>
          <w:bookmarkEnd w:id="19"/>
          <w:bookmarkEnd w:id="20"/>
          <w:bookmarkEnd w:id="21"/>
          <w:bookmarkEnd w:id="22"/>
          <w:r w:rsidRPr="000B1E65">
            <w:rPr>
              <w:rFonts w:ascii="Humnst777 BT" w:hAnsi="Humnst777 BT" w:cs="Humnst777 BT"/>
              <w:sz w:val="14"/>
              <w:szCs w:val="14"/>
            </w:rPr>
            <w:t>Statens vegvesen</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Telefaks: 22 07 37 68</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Brynsengfaret 6A</w:t>
          </w: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Statens vegvesen</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27" w:name="BTK1R3" w:colFirst="0" w:colLast="0"/>
          <w:bookmarkStart w:id="28" w:name="BTK2R3" w:colFirst="1" w:colLast="1"/>
          <w:bookmarkStart w:id="29" w:name="BTK3R3" w:colFirst="2" w:colLast="2"/>
          <w:bookmarkStart w:id="30" w:name="BTK4R3" w:colFirst="3" w:colLast="3"/>
          <w:bookmarkEnd w:id="23"/>
          <w:bookmarkEnd w:id="24"/>
          <w:bookmarkEnd w:id="25"/>
          <w:bookmarkEnd w:id="26"/>
          <w:r w:rsidRPr="000B1E65">
            <w:rPr>
              <w:rFonts w:ascii="Humnst777 BT" w:hAnsi="Humnst777 BT" w:cs="Humnst777 BT"/>
              <w:sz w:val="14"/>
              <w:szCs w:val="14"/>
            </w:rPr>
            <w:t>Vegdirektoratet</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firmapost@vegvesen.no</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0667 OSLO</w:t>
          </w: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Regnskap</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31" w:name="BTK1R4" w:colFirst="0" w:colLast="0"/>
          <w:bookmarkStart w:id="32" w:name="BTK2R4" w:colFirst="1" w:colLast="1"/>
          <w:bookmarkStart w:id="33" w:name="BTK3R4" w:colFirst="2" w:colLast="2"/>
          <w:bookmarkStart w:id="34" w:name="BTK4R4" w:colFirst="3" w:colLast="3"/>
          <w:bookmarkEnd w:id="27"/>
          <w:bookmarkEnd w:id="28"/>
          <w:bookmarkEnd w:id="29"/>
          <w:bookmarkEnd w:id="30"/>
          <w:r w:rsidRPr="000B1E65">
            <w:rPr>
              <w:rFonts w:ascii="Humnst777 BT" w:hAnsi="Humnst777 BT" w:cs="Humnst777 BT"/>
              <w:sz w:val="14"/>
              <w:szCs w:val="14"/>
            </w:rPr>
            <w:t>Postboks 8142 Dep</w:t>
          </w:r>
        </w:p>
      </w:tc>
      <w:tc>
        <w:tcPr>
          <w:tcW w:w="2700" w:type="dxa"/>
        </w:tcPr>
        <w:p w:rsidR="007403E5" w:rsidRPr="000B1E65" w:rsidRDefault="007403E5">
          <w:pPr>
            <w:rPr>
              <w:rFonts w:ascii="Humnst777 BT" w:hAnsi="Humnst777 BT" w:cs="Humnst777 BT"/>
              <w:sz w:val="14"/>
              <w:szCs w:val="14"/>
            </w:rPr>
          </w:pPr>
        </w:p>
      </w:tc>
      <w:tc>
        <w:tcPr>
          <w:tcW w:w="2700" w:type="dxa"/>
        </w:tcPr>
        <w:p w:rsidR="007403E5" w:rsidRPr="000B1E65" w:rsidRDefault="007403E5">
          <w:pPr>
            <w:rPr>
              <w:rFonts w:ascii="Humnst777 BT" w:hAnsi="Humnst777 BT" w:cs="Humnst777 BT"/>
              <w:sz w:val="14"/>
              <w:szCs w:val="14"/>
            </w:rPr>
          </w:pP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Båtsfjordveien 18</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35" w:name="BTK1R5" w:colFirst="0" w:colLast="0"/>
          <w:bookmarkStart w:id="36" w:name="BTK2R5" w:colFirst="1" w:colLast="1"/>
          <w:bookmarkStart w:id="37" w:name="BTK3R5" w:colFirst="2" w:colLast="2"/>
          <w:bookmarkStart w:id="38" w:name="BTK4R5" w:colFirst="3" w:colLast="3"/>
          <w:bookmarkEnd w:id="31"/>
          <w:bookmarkEnd w:id="32"/>
          <w:bookmarkEnd w:id="33"/>
          <w:bookmarkEnd w:id="34"/>
          <w:r w:rsidRPr="000B1E65">
            <w:rPr>
              <w:rFonts w:ascii="Humnst777 BT" w:hAnsi="Humnst777 BT" w:cs="Humnst777 BT"/>
              <w:sz w:val="14"/>
              <w:szCs w:val="14"/>
            </w:rPr>
            <w:t>0033 Oslo</w:t>
          </w:r>
        </w:p>
      </w:tc>
      <w:tc>
        <w:tcPr>
          <w:tcW w:w="270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Org.nr: 971032081</w:t>
          </w:r>
        </w:p>
      </w:tc>
      <w:tc>
        <w:tcPr>
          <w:tcW w:w="2700" w:type="dxa"/>
        </w:tcPr>
        <w:p w:rsidR="007403E5" w:rsidRPr="000B1E65" w:rsidRDefault="007403E5">
          <w:pPr>
            <w:rPr>
              <w:rFonts w:ascii="Humnst777 BT" w:hAnsi="Humnst777 BT" w:cs="Humnst777 BT"/>
              <w:sz w:val="14"/>
              <w:szCs w:val="14"/>
            </w:rPr>
          </w:pP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9815 VADSØ</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39" w:name="BTK1R6" w:colFirst="0" w:colLast="0"/>
          <w:bookmarkStart w:id="40" w:name="BTK2R6" w:colFirst="1" w:colLast="1"/>
          <w:bookmarkStart w:id="41" w:name="BTK3R6" w:colFirst="2" w:colLast="2"/>
          <w:bookmarkStart w:id="42" w:name="BTK4R6" w:colFirst="3" w:colLast="3"/>
          <w:bookmarkEnd w:id="35"/>
          <w:bookmarkEnd w:id="36"/>
          <w:bookmarkEnd w:id="37"/>
          <w:bookmarkEnd w:id="38"/>
        </w:p>
      </w:tc>
      <w:tc>
        <w:tcPr>
          <w:tcW w:w="2700" w:type="dxa"/>
        </w:tcPr>
        <w:p w:rsidR="007403E5" w:rsidRPr="000B1E65" w:rsidRDefault="007403E5">
          <w:pPr>
            <w:rPr>
              <w:rFonts w:ascii="Humnst777 BT" w:hAnsi="Humnst777 BT" w:cs="Humnst777 BT"/>
              <w:sz w:val="14"/>
              <w:szCs w:val="14"/>
            </w:rPr>
          </w:pPr>
        </w:p>
      </w:tc>
      <w:tc>
        <w:tcPr>
          <w:tcW w:w="2700" w:type="dxa"/>
        </w:tcPr>
        <w:p w:rsidR="007403E5" w:rsidRPr="000B1E65" w:rsidRDefault="007403E5">
          <w:pPr>
            <w:rPr>
              <w:rFonts w:ascii="Humnst777 BT" w:hAnsi="Humnst777 BT" w:cs="Humnst777 BT"/>
              <w:sz w:val="14"/>
              <w:szCs w:val="14"/>
            </w:rPr>
          </w:pP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Telefon: 78 94 15 50</w:t>
          </w:r>
        </w:p>
      </w:tc>
    </w:tr>
    <w:tr w:rsidR="007403E5" w:rsidRPr="000B1E65">
      <w:trPr>
        <w:trHeight w:hRule="exact" w:val="198"/>
      </w:trPr>
      <w:tc>
        <w:tcPr>
          <w:tcW w:w="2628" w:type="dxa"/>
        </w:tcPr>
        <w:p w:rsidR="007403E5" w:rsidRPr="000B1E65" w:rsidRDefault="007403E5">
          <w:pPr>
            <w:rPr>
              <w:rFonts w:ascii="Humnst777 BT" w:hAnsi="Humnst777 BT" w:cs="Humnst777 BT"/>
              <w:sz w:val="14"/>
              <w:szCs w:val="14"/>
            </w:rPr>
          </w:pPr>
          <w:bookmarkStart w:id="43" w:name="BTK2R7" w:colFirst="1" w:colLast="1"/>
          <w:bookmarkStart w:id="44" w:name="BTK3R7" w:colFirst="2" w:colLast="2"/>
          <w:bookmarkStart w:id="45" w:name="BTK1R7" w:colFirst="0" w:colLast="0"/>
          <w:bookmarkStart w:id="46" w:name="BTK4R7" w:colFirst="3" w:colLast="3"/>
          <w:bookmarkEnd w:id="39"/>
          <w:bookmarkEnd w:id="40"/>
          <w:bookmarkEnd w:id="41"/>
          <w:bookmarkEnd w:id="42"/>
        </w:p>
      </w:tc>
      <w:tc>
        <w:tcPr>
          <w:tcW w:w="2700" w:type="dxa"/>
        </w:tcPr>
        <w:p w:rsidR="007403E5" w:rsidRPr="000B1E65" w:rsidRDefault="007403E5">
          <w:pPr>
            <w:rPr>
              <w:rFonts w:ascii="Humnst777 BT" w:hAnsi="Humnst777 BT" w:cs="Humnst777 BT"/>
              <w:sz w:val="14"/>
              <w:szCs w:val="14"/>
            </w:rPr>
          </w:pPr>
        </w:p>
      </w:tc>
      <w:tc>
        <w:tcPr>
          <w:tcW w:w="2700" w:type="dxa"/>
        </w:tcPr>
        <w:p w:rsidR="007403E5" w:rsidRPr="000B1E65" w:rsidRDefault="007403E5">
          <w:pPr>
            <w:rPr>
              <w:rFonts w:ascii="Humnst777 BT" w:hAnsi="Humnst777 BT" w:cs="Humnst777 BT"/>
              <w:sz w:val="14"/>
              <w:szCs w:val="14"/>
            </w:rPr>
          </w:pPr>
        </w:p>
      </w:tc>
      <w:tc>
        <w:tcPr>
          <w:tcW w:w="2160" w:type="dxa"/>
        </w:tcPr>
        <w:p w:rsidR="007403E5" w:rsidRPr="000B1E65" w:rsidRDefault="007403E5">
          <w:pPr>
            <w:rPr>
              <w:rFonts w:ascii="Humnst777 BT" w:hAnsi="Humnst777 BT" w:cs="Humnst777 BT"/>
              <w:sz w:val="14"/>
              <w:szCs w:val="14"/>
            </w:rPr>
          </w:pPr>
          <w:r w:rsidRPr="000B1E65">
            <w:rPr>
              <w:rFonts w:ascii="Humnst777 BT" w:hAnsi="Humnst777 BT" w:cs="Humnst777 BT"/>
              <w:sz w:val="14"/>
              <w:szCs w:val="14"/>
            </w:rPr>
            <w:t>Telefaks: 78 95 33 52</w:t>
          </w:r>
        </w:p>
      </w:tc>
    </w:tr>
    <w:bookmarkEnd w:id="43"/>
    <w:bookmarkEnd w:id="44"/>
    <w:bookmarkEnd w:id="45"/>
    <w:bookmarkEnd w:id="46"/>
  </w:tbl>
  <w:p w:rsidR="007403E5" w:rsidRPr="000B1E65" w:rsidRDefault="007403E5">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3E5" w:rsidRPr="000B1E65" w:rsidRDefault="007403E5">
      <w:r w:rsidRPr="000B1E65">
        <w:separator/>
      </w:r>
    </w:p>
  </w:footnote>
  <w:footnote w:type="continuationSeparator" w:id="0">
    <w:p w:rsidR="007403E5" w:rsidRPr="000B1E65" w:rsidRDefault="007403E5">
      <w:r w:rsidRPr="000B1E65">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E5" w:rsidRPr="000B1E65" w:rsidRDefault="007403E5">
    <w:pPr>
      <w:pStyle w:val="Header"/>
      <w:framePr w:wrap="around" w:vAnchor="text" w:hAnchor="margin" w:xAlign="right" w:y="1"/>
      <w:rPr>
        <w:rStyle w:val="PageNumber"/>
      </w:rPr>
    </w:pPr>
    <w:r w:rsidRPr="000B1E65">
      <w:rPr>
        <w:rStyle w:val="PageNumber"/>
      </w:rPr>
      <w:fldChar w:fldCharType="begin"/>
    </w:r>
    <w:r w:rsidRPr="000B1E65">
      <w:rPr>
        <w:rStyle w:val="PageNumber"/>
      </w:rPr>
      <w:instrText xml:space="preserve">PAGE  </w:instrText>
    </w:r>
    <w:r w:rsidRPr="000B1E65">
      <w:rPr>
        <w:rStyle w:val="PageNumber"/>
      </w:rPr>
      <w:fldChar w:fldCharType="separate"/>
    </w:r>
    <w:r w:rsidRPr="000B1E65">
      <w:rPr>
        <w:rStyle w:val="PageNumber"/>
        <w:noProof/>
      </w:rPr>
      <w:t>1</w:t>
    </w:r>
    <w:r w:rsidRPr="000B1E65">
      <w:rPr>
        <w:rStyle w:val="PageNumber"/>
      </w:rPr>
      <w:fldChar w:fldCharType="end"/>
    </w:r>
  </w:p>
  <w:p w:rsidR="007403E5" w:rsidRPr="000B1E65" w:rsidRDefault="007403E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3E5" w:rsidRPr="000B1E65" w:rsidRDefault="007403E5">
    <w:pPr>
      <w:pStyle w:val="Header"/>
      <w:tabs>
        <w:tab w:val="clear" w:pos="9072"/>
        <w:tab w:val="right" w:pos="7938"/>
      </w:tabs>
      <w:ind w:right="-1"/>
      <w:jc w:val="right"/>
      <w:rPr>
        <w:rStyle w:val="PageNumber"/>
      </w:rPr>
    </w:pPr>
    <w:r w:rsidRPr="000B1E65">
      <w:rPr>
        <w:rStyle w:val="PageNumber"/>
      </w:rPr>
      <w:fldChar w:fldCharType="begin"/>
    </w:r>
    <w:r w:rsidRPr="000B1E65">
      <w:rPr>
        <w:rStyle w:val="PageNumber"/>
      </w:rPr>
      <w:instrText xml:space="preserve"> PAGE </w:instrText>
    </w:r>
    <w:r w:rsidRPr="000B1E65">
      <w:rPr>
        <w:rStyle w:val="PageNumber"/>
      </w:rPr>
      <w:fldChar w:fldCharType="separate"/>
    </w:r>
    <w:r>
      <w:rPr>
        <w:rStyle w:val="PageNumber"/>
        <w:noProof/>
      </w:rPr>
      <w:t>2</w:t>
    </w:r>
    <w:r w:rsidRPr="000B1E65">
      <w:rPr>
        <w:rStyle w:val="PageNumber"/>
      </w:rPr>
      <w:fldChar w:fldCharType="end"/>
    </w:r>
  </w:p>
  <w:p w:rsidR="007403E5" w:rsidRPr="000B1E65" w:rsidRDefault="007403E5">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000"/>
    </w:tblPr>
    <w:tblGrid>
      <w:gridCol w:w="9242"/>
    </w:tblGrid>
    <w:tr w:rsidR="007403E5" w:rsidRPr="000B1E65">
      <w:trPr>
        <w:trHeight w:hRule="exact" w:val="992"/>
        <w:jc w:val="center"/>
      </w:trPr>
      <w:tc>
        <w:tcPr>
          <w:tcW w:w="9242" w:type="dxa"/>
        </w:tcPr>
        <w:p w:rsidR="007403E5" w:rsidRPr="000B1E65" w:rsidRDefault="007403E5">
          <w:pPr>
            <w:pStyle w:val="Header"/>
            <w:spacing w:before="80"/>
            <w:ind w:left="-170"/>
            <w:jc w:val="center"/>
          </w:pPr>
          <w:bookmarkStart w:id="17" w:name="Logo"/>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36.75pt" fillcolor="window">
                <v:imagedata r:id="rId1" o:title=""/>
              </v:shape>
            </w:pict>
          </w:r>
        </w:p>
      </w:tc>
    </w:tr>
    <w:tr w:rsidR="007403E5" w:rsidRPr="000B1E65">
      <w:trPr>
        <w:jc w:val="center"/>
      </w:trPr>
      <w:tc>
        <w:tcPr>
          <w:tcW w:w="9242" w:type="dxa"/>
        </w:tcPr>
        <w:p w:rsidR="007403E5" w:rsidRPr="000B1E65" w:rsidRDefault="007403E5">
          <w:pPr>
            <w:pStyle w:val="Header"/>
            <w:ind w:left="-113"/>
            <w:jc w:val="center"/>
            <w:rPr>
              <w:b/>
              <w:bCs/>
              <w:spacing w:val="6"/>
            </w:rPr>
          </w:pPr>
          <w:bookmarkStart w:id="18" w:name="TTL1" w:colFirst="0" w:colLast="0"/>
          <w:bookmarkEnd w:id="17"/>
          <w:r w:rsidRPr="000B1E65">
            <w:rPr>
              <w:rFonts w:ascii="Humnst777 Blk BT" w:hAnsi="Humnst777 Blk BT" w:cs="Humnst777 Blk BT"/>
              <w:b/>
              <w:bCs/>
              <w:spacing w:val="6"/>
            </w:rPr>
            <w:t>Statens vegvesen</w:t>
          </w:r>
        </w:p>
      </w:tc>
    </w:tr>
    <w:bookmarkEnd w:id="18"/>
  </w:tbl>
  <w:p w:rsidR="007403E5" w:rsidRPr="000B1E65" w:rsidRDefault="007403E5">
    <w:pPr>
      <w:pStyle w:val="Header"/>
      <w:tabs>
        <w:tab w:val="left" w:pos="4111"/>
      </w:tabs>
    </w:pPr>
  </w:p>
  <w:p w:rsidR="007403E5" w:rsidRPr="000B1E65" w:rsidRDefault="007403E5">
    <w:pPr>
      <w:pStyle w:val="Header"/>
      <w:tabs>
        <w:tab w:val="left" w:pos="411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41825"/>
    <w:multiLevelType w:val="hybridMultilevel"/>
    <w:tmpl w:val="658298DC"/>
    <w:lvl w:ilvl="0" w:tplc="859C1052">
      <w:start w:val="65"/>
      <w:numFmt w:val="decimal"/>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1">
    <w:abstractNumId w:val="0"/>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rkiv" w:val="00"/>
    <w:docVar w:name="DB_Database" w:val="svvdbcl.kons"/>
    <w:docVar w:name="File_transfer_method" w:val="UNC"/>
    <w:docVar w:name="FTP_checkin_directory" w:val="ftp://webserver/upload/"/>
    <w:docVar w:name="Gradering" w:val="U"/>
    <w:docVar w:name="iAntI" w:val="5"/>
    <w:docVar w:name="InterneMottakere" w:val="Postmottak øst, Postmottak sør, Postmottak vest, Postmottak midt, Postmottak nord"/>
    <w:docVar w:name="mal" w:val="Notatmal.Dot"/>
    <w:docVar w:name="Mottakere" w:val="Postmottak øst, Postmottak sør, Postmottak vest, Postmottak midt, Postmottak nord"/>
    <w:docVar w:name="NotatFra" w:val="Trafikksikkerhetsseksjonen"/>
    <w:docVar w:name="Overskriften" w:val="Tilstandsundersøkelse kap 3/2013 - Bruk av piggdekk"/>
    <w:docVar w:name="redir" w:val="/sveis_svvb/details/docdet.asp?journalnr=2012681369&amp;files=Y"/>
    <w:docVar w:name="RootFolder" w:val="http://svvsveisweb.vegvesen.no/sveis_svvb"/>
    <w:docVar w:name="SveisDok" w:val="1"/>
    <w:docVar w:name="UNC_checkin_directory" w:val="\\svvpsveisfil01.vegvesen.no\sveis_fileload\svvb\upload\"/>
    <w:docVar w:name="Vår_dato" w:val="21.03.2013"/>
    <w:docVar w:name="Vår_referanse" w:val="2010/004462-052"/>
    <w:docVar w:name="Vår_saksbehandler" w:val="Liv Marie Nygaard  - 22073742"/>
  </w:docVars>
  <w:rsids>
    <w:rsidRoot w:val="000B1E65"/>
    <w:rsid w:val="000B1E65"/>
    <w:rsid w:val="000D0F05"/>
    <w:rsid w:val="00115155"/>
    <w:rsid w:val="0024719C"/>
    <w:rsid w:val="0029472F"/>
    <w:rsid w:val="002A4DCB"/>
    <w:rsid w:val="002D4028"/>
    <w:rsid w:val="003B5068"/>
    <w:rsid w:val="0062627A"/>
    <w:rsid w:val="0066749A"/>
    <w:rsid w:val="007019AE"/>
    <w:rsid w:val="00723744"/>
    <w:rsid w:val="007403E5"/>
    <w:rsid w:val="007503B4"/>
    <w:rsid w:val="00765D75"/>
    <w:rsid w:val="008477BF"/>
    <w:rsid w:val="0088375A"/>
    <w:rsid w:val="00925FE4"/>
    <w:rsid w:val="0095597B"/>
    <w:rsid w:val="00AB1767"/>
    <w:rsid w:val="00B02B0F"/>
    <w:rsid w:val="00B6017E"/>
    <w:rsid w:val="00BA3720"/>
    <w:rsid w:val="00BF4489"/>
    <w:rsid w:val="00CB767A"/>
    <w:rsid w:val="00D541C9"/>
    <w:rsid w:val="00EF4DE6"/>
    <w:rsid w:val="00F501D1"/>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9C"/>
    <w:rPr>
      <w:sz w:val="24"/>
      <w:szCs w:val="24"/>
      <w:lang w:eastAsia="en-US"/>
    </w:rPr>
  </w:style>
  <w:style w:type="paragraph" w:styleId="Heading1">
    <w:name w:val="heading 1"/>
    <w:basedOn w:val="Normal"/>
    <w:next w:val="Dokumenttekst"/>
    <w:link w:val="Heading1Char"/>
    <w:uiPriority w:val="99"/>
    <w:qFormat/>
    <w:rsid w:val="0024719C"/>
    <w:pPr>
      <w:keepNext/>
      <w:spacing w:before="480" w:after="240"/>
      <w:outlineLvl w:val="0"/>
    </w:pPr>
    <w:rPr>
      <w:b/>
      <w:bCs/>
    </w:rPr>
  </w:style>
  <w:style w:type="paragraph" w:styleId="Heading2">
    <w:name w:val="heading 2"/>
    <w:basedOn w:val="Normal"/>
    <w:next w:val="Dokumenttekst"/>
    <w:link w:val="Heading2Char"/>
    <w:uiPriority w:val="99"/>
    <w:qFormat/>
    <w:rsid w:val="0024719C"/>
    <w:pPr>
      <w:keepNext/>
      <w:spacing w:before="480" w:after="240"/>
      <w:outlineLvl w:val="1"/>
    </w:pPr>
    <w:rPr>
      <w:u w:val="single"/>
    </w:rPr>
  </w:style>
  <w:style w:type="paragraph" w:styleId="Heading3">
    <w:name w:val="heading 3"/>
    <w:basedOn w:val="Normal"/>
    <w:next w:val="Dokumenttekst"/>
    <w:link w:val="Heading3Char"/>
    <w:uiPriority w:val="99"/>
    <w:qFormat/>
    <w:rsid w:val="0024719C"/>
    <w:pPr>
      <w:keepNext/>
      <w:spacing w:before="480" w:after="240"/>
      <w:outlineLvl w:val="2"/>
    </w:pPr>
  </w:style>
  <w:style w:type="paragraph" w:styleId="Heading4">
    <w:name w:val="heading 4"/>
    <w:basedOn w:val="Normal"/>
    <w:next w:val="Normal"/>
    <w:link w:val="Heading4Char"/>
    <w:uiPriority w:val="99"/>
    <w:qFormat/>
    <w:rsid w:val="0024719C"/>
    <w:pPr>
      <w:keepNext/>
      <w:outlineLvl w:val="3"/>
    </w:pPr>
    <w:rPr>
      <w:rFonts w:ascii="Humnst777 Blk BT" w:hAnsi="Humnst777 Blk BT" w:cs="Humnst777 Blk BT"/>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80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0080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0080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00803"/>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24719C"/>
    <w:pPr>
      <w:tabs>
        <w:tab w:val="center" w:pos="4536"/>
        <w:tab w:val="right" w:pos="9072"/>
      </w:tabs>
    </w:pPr>
  </w:style>
  <w:style w:type="character" w:customStyle="1" w:styleId="HeaderChar">
    <w:name w:val="Header Char"/>
    <w:basedOn w:val="DefaultParagraphFont"/>
    <w:link w:val="Header"/>
    <w:uiPriority w:val="99"/>
    <w:semiHidden/>
    <w:rsid w:val="00500803"/>
    <w:rPr>
      <w:sz w:val="24"/>
      <w:szCs w:val="24"/>
      <w:lang w:eastAsia="en-US"/>
    </w:rPr>
  </w:style>
  <w:style w:type="character" w:styleId="PageNumber">
    <w:name w:val="page number"/>
    <w:basedOn w:val="DefaultParagraphFont"/>
    <w:uiPriority w:val="99"/>
    <w:rsid w:val="0024719C"/>
  </w:style>
  <w:style w:type="paragraph" w:customStyle="1" w:styleId="Overskrift">
    <w:name w:val="Overskrift"/>
    <w:basedOn w:val="Normal"/>
    <w:uiPriority w:val="99"/>
    <w:rsid w:val="0024719C"/>
    <w:pPr>
      <w:spacing w:before="120" w:after="240"/>
    </w:pPr>
    <w:rPr>
      <w:b/>
      <w:bCs/>
      <w:sz w:val="28"/>
      <w:szCs w:val="28"/>
    </w:rPr>
  </w:style>
  <w:style w:type="paragraph" w:customStyle="1" w:styleId="Dokumenttekst">
    <w:name w:val="Dokumenttekst"/>
    <w:basedOn w:val="Normal"/>
    <w:uiPriority w:val="99"/>
    <w:rsid w:val="0024719C"/>
  </w:style>
  <w:style w:type="paragraph" w:styleId="Footer">
    <w:name w:val="footer"/>
    <w:basedOn w:val="Normal"/>
    <w:link w:val="FooterChar"/>
    <w:uiPriority w:val="99"/>
    <w:rsid w:val="0024719C"/>
    <w:pPr>
      <w:tabs>
        <w:tab w:val="center" w:pos="4536"/>
        <w:tab w:val="right" w:pos="9072"/>
      </w:tabs>
    </w:pPr>
  </w:style>
  <w:style w:type="character" w:customStyle="1" w:styleId="FooterChar">
    <w:name w:val="Footer Char"/>
    <w:basedOn w:val="DefaultParagraphFont"/>
    <w:link w:val="Footer"/>
    <w:uiPriority w:val="99"/>
    <w:semiHidden/>
    <w:rsid w:val="00500803"/>
    <w:rPr>
      <w:sz w:val="24"/>
      <w:szCs w:val="24"/>
      <w:lang w:eastAsia="en-US"/>
    </w:rPr>
  </w:style>
  <w:style w:type="paragraph" w:customStyle="1" w:styleId="Parafering">
    <w:name w:val="Parafering"/>
    <w:basedOn w:val="Normal"/>
    <w:next w:val="Dokumenttekst"/>
    <w:uiPriority w:val="99"/>
    <w:rsid w:val="0024719C"/>
    <w:pPr>
      <w:tabs>
        <w:tab w:val="left" w:pos="5103"/>
      </w:tabs>
    </w:pPr>
  </w:style>
  <w:style w:type="paragraph" w:styleId="ListParagraph">
    <w:name w:val="List Paragraph"/>
    <w:basedOn w:val="Normal"/>
    <w:uiPriority w:val="99"/>
    <w:qFormat/>
    <w:rsid w:val="000B1E65"/>
    <w:pPr>
      <w:ind w:left="720"/>
      <w:contextualSpacing/>
    </w:pPr>
  </w:style>
</w:styles>
</file>

<file path=word/webSettings.xml><?xml version="1.0" encoding="utf-8"?>
<w:webSettings xmlns:r="http://schemas.openxmlformats.org/officeDocument/2006/relationships" xmlns:w="http://schemas.openxmlformats.org/wordprocessingml/2006/main">
  <w:divs>
    <w:div w:id="56129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CE368C.5440B0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elles%20maler\office\maler\interne\Notat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Notatmal.Dot</Template>
  <TotalTime>1</TotalTime>
  <Pages>5</Pages>
  <Words>1138</Words>
  <Characters>6032</Characters>
  <Application>Microsoft Office Outlook</Application>
  <DocSecurity>0</DocSecurity>
  <Lines>0</Lines>
  <Paragraphs>0</Paragraphs>
  <ScaleCrop>false</ScaleCrop>
  <Company>SNI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Nygaard Liv Marie</dc:creator>
  <cp:keywords/>
  <dc:description/>
  <cp:lastModifiedBy>May Teistevoll</cp:lastModifiedBy>
  <cp:revision>2</cp:revision>
  <cp:lastPrinted>2013-03-21T08:47:00Z</cp:lastPrinted>
  <dcterms:created xsi:type="dcterms:W3CDTF">2014-01-30T13:47:00Z</dcterms:created>
  <dcterms:modified xsi:type="dcterms:W3CDTF">2014-01-30T13:47:00Z</dcterms:modified>
</cp:coreProperties>
</file>