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F5" w:rsidRPr="00ED3CF7" w:rsidRDefault="001C02F5">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1C02F5" w:rsidRPr="00ED3CF7">
        <w:trPr>
          <w:trHeight w:val="425"/>
        </w:trPr>
        <w:tc>
          <w:tcPr>
            <w:tcW w:w="4644" w:type="dxa"/>
            <w:gridSpan w:val="2"/>
            <w:tcBorders>
              <w:top w:val="nil"/>
              <w:left w:val="nil"/>
              <w:bottom w:val="nil"/>
              <w:right w:val="nil"/>
            </w:tcBorders>
          </w:tcPr>
          <w:p w:rsidR="001C02F5" w:rsidRPr="00ED3CF7" w:rsidRDefault="001C02F5">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1C02F5" w:rsidRPr="00ED3CF7">
                          <w:tc>
                            <w:tcPr>
                              <w:tcW w:w="3898" w:type="dxa"/>
                              <w:gridSpan w:val="2"/>
                              <w:vAlign w:val="bottom"/>
                            </w:tcPr>
                            <w:p w:rsidR="001C02F5" w:rsidRPr="00ED3CF7" w:rsidRDefault="001C02F5">
                              <w:pPr>
                                <w:rPr>
                                  <w:rFonts w:ascii="Humnst777 BT" w:hAnsi="Humnst777 BT" w:cs="Humnst777 BT"/>
                                  <w:sz w:val="14"/>
                                  <w:szCs w:val="14"/>
                                </w:rPr>
                              </w:pPr>
                              <w:bookmarkStart w:id="0" w:name="sbh_T" w:colFirst="0" w:colLast="0"/>
                              <w:r w:rsidRPr="00ED3CF7">
                                <w:rPr>
                                  <w:rFonts w:ascii="Humnst777 BT" w:hAnsi="Humnst777 BT" w:cs="Humnst777 BT"/>
                                  <w:sz w:val="14"/>
                                  <w:szCs w:val="14"/>
                                </w:rPr>
                                <w:t>Saksbehandler/innvalgsnr:</w:t>
                              </w:r>
                            </w:p>
                          </w:tc>
                        </w:tr>
                        <w:tr w:rsidR="001C02F5" w:rsidRPr="00ED3CF7">
                          <w:trPr>
                            <w:trHeight w:val="340"/>
                          </w:trPr>
                          <w:tc>
                            <w:tcPr>
                              <w:tcW w:w="3898" w:type="dxa"/>
                              <w:gridSpan w:val="2"/>
                              <w:vAlign w:val="center"/>
                            </w:tcPr>
                            <w:p w:rsidR="001C02F5" w:rsidRPr="00ED3CF7" w:rsidRDefault="001C02F5">
                              <w:pPr>
                                <w:rPr>
                                  <w:sz w:val="16"/>
                                  <w:szCs w:val="16"/>
                                </w:rPr>
                              </w:pPr>
                              <w:bookmarkStart w:id="1" w:name="Vår_saksbehandler" w:colFirst="0" w:colLast="0"/>
                              <w:bookmarkEnd w:id="0"/>
                              <w:r>
                                <w:rPr>
                                  <w:sz w:val="16"/>
                                  <w:szCs w:val="16"/>
                                </w:rPr>
                                <w:t>Leif Magne Halvorsen  - 22073672</w:t>
                              </w:r>
                            </w:p>
                          </w:tc>
                        </w:tr>
                        <w:tr w:rsidR="001C02F5" w:rsidRPr="00ED3CF7">
                          <w:tc>
                            <w:tcPr>
                              <w:tcW w:w="1092" w:type="dxa"/>
                              <w:vAlign w:val="bottom"/>
                            </w:tcPr>
                            <w:p w:rsidR="001C02F5" w:rsidRPr="00ED3CF7" w:rsidRDefault="001C02F5">
                              <w:pPr>
                                <w:rPr>
                                  <w:rFonts w:ascii="Humnst777 BT" w:hAnsi="Humnst777 BT" w:cs="Humnst777 BT"/>
                                  <w:sz w:val="14"/>
                                  <w:szCs w:val="14"/>
                                </w:rPr>
                              </w:pPr>
                              <w:bookmarkStart w:id="2" w:name="VDato_T" w:colFirst="0" w:colLast="0"/>
                              <w:bookmarkStart w:id="3" w:name="Vår_dato" w:colFirst="1" w:colLast="1"/>
                              <w:bookmarkEnd w:id="1"/>
                              <w:r w:rsidRPr="00ED3CF7">
                                <w:rPr>
                                  <w:rFonts w:ascii="Humnst777 BT" w:hAnsi="Humnst777 BT" w:cs="Humnst777 BT"/>
                                  <w:sz w:val="14"/>
                                  <w:szCs w:val="14"/>
                                </w:rPr>
                                <w:t>Vår dato:</w:t>
                              </w:r>
                            </w:p>
                          </w:tc>
                          <w:tc>
                            <w:tcPr>
                              <w:tcW w:w="2806" w:type="dxa"/>
                              <w:vAlign w:val="bottom"/>
                            </w:tcPr>
                            <w:p w:rsidR="001C02F5" w:rsidRPr="00ED3CF7" w:rsidRDefault="001C02F5" w:rsidP="00E135F3">
                              <w:pPr>
                                <w:rPr>
                                  <w:sz w:val="16"/>
                                  <w:szCs w:val="16"/>
                                </w:rPr>
                              </w:pPr>
                              <w:r>
                                <w:rPr>
                                  <w:sz w:val="16"/>
                                  <w:szCs w:val="16"/>
                                </w:rPr>
                                <w:t>27.08.2013</w:t>
                              </w:r>
                            </w:p>
                          </w:tc>
                        </w:tr>
                        <w:tr w:rsidR="001C02F5" w:rsidRPr="00ED3CF7">
                          <w:trPr>
                            <w:trHeight w:val="284"/>
                          </w:trPr>
                          <w:tc>
                            <w:tcPr>
                              <w:tcW w:w="1092" w:type="dxa"/>
                              <w:vAlign w:val="bottom"/>
                            </w:tcPr>
                            <w:p w:rsidR="001C02F5" w:rsidRPr="00ED3CF7" w:rsidRDefault="001C02F5">
                              <w:pPr>
                                <w:rPr>
                                  <w:sz w:val="14"/>
                                  <w:szCs w:val="14"/>
                                </w:rPr>
                              </w:pPr>
                              <w:bookmarkStart w:id="4" w:name="Vår_referanse" w:colFirst="1" w:colLast="1"/>
                              <w:bookmarkStart w:id="5" w:name="Vref_T" w:colFirst="0" w:colLast="0"/>
                              <w:bookmarkEnd w:id="2"/>
                              <w:bookmarkEnd w:id="3"/>
                              <w:r w:rsidRPr="00ED3CF7">
                                <w:rPr>
                                  <w:rFonts w:ascii="Humnst777 BT" w:hAnsi="Humnst777 BT" w:cs="Humnst777 BT"/>
                                  <w:sz w:val="14"/>
                                  <w:szCs w:val="14"/>
                                </w:rPr>
                                <w:t>Vår referanse:</w:t>
                              </w:r>
                            </w:p>
                          </w:tc>
                          <w:tc>
                            <w:tcPr>
                              <w:tcW w:w="2806" w:type="dxa"/>
                              <w:vAlign w:val="bottom"/>
                            </w:tcPr>
                            <w:p w:rsidR="001C02F5" w:rsidRPr="00ED3CF7" w:rsidRDefault="001C02F5">
                              <w:pPr>
                                <w:rPr>
                                  <w:sz w:val="16"/>
                                  <w:szCs w:val="16"/>
                                </w:rPr>
                              </w:pPr>
                              <w:r>
                                <w:rPr>
                                  <w:sz w:val="16"/>
                                  <w:szCs w:val="16"/>
                                </w:rPr>
                                <w:t>2010/004462-051</w:t>
                              </w:r>
                            </w:p>
                          </w:tc>
                        </w:tr>
                        <w:bookmarkEnd w:id="4"/>
                        <w:bookmarkEnd w:id="5"/>
                        <w:tr w:rsidR="001C02F5" w:rsidRPr="00ED3CF7">
                          <w:tc>
                            <w:tcPr>
                              <w:tcW w:w="1092" w:type="dxa"/>
                              <w:vAlign w:val="bottom"/>
                            </w:tcPr>
                            <w:p w:rsidR="001C02F5" w:rsidRPr="00ED3CF7" w:rsidRDefault="001C02F5">
                              <w:pPr>
                                <w:rPr>
                                  <w:rFonts w:ascii="Humnst777 BT" w:hAnsi="Humnst777 BT" w:cs="Humnst777 BT"/>
                                  <w:sz w:val="14"/>
                                  <w:szCs w:val="14"/>
                                </w:rPr>
                              </w:pPr>
                            </w:p>
                          </w:tc>
                          <w:tc>
                            <w:tcPr>
                              <w:tcW w:w="2806" w:type="dxa"/>
                              <w:vAlign w:val="bottom"/>
                            </w:tcPr>
                            <w:p w:rsidR="001C02F5" w:rsidRPr="00ED3CF7" w:rsidRDefault="001C02F5">
                              <w:pPr>
                                <w:rPr>
                                  <w:rFonts w:ascii="Humnst777 BT" w:hAnsi="Humnst777 BT" w:cs="Humnst777 BT"/>
                                  <w:sz w:val="14"/>
                                  <w:szCs w:val="14"/>
                                </w:rPr>
                              </w:pPr>
                            </w:p>
                          </w:tc>
                        </w:tr>
                        <w:tr w:rsidR="001C02F5" w:rsidRPr="00ED3CF7">
                          <w:trPr>
                            <w:cantSplit/>
                            <w:trHeight w:val="262"/>
                          </w:trPr>
                          <w:tc>
                            <w:tcPr>
                              <w:tcW w:w="3898" w:type="dxa"/>
                              <w:gridSpan w:val="2"/>
                            </w:tcPr>
                            <w:p w:rsidR="001C02F5" w:rsidRPr="00ED3CF7" w:rsidRDefault="001C02F5">
                              <w:pPr>
                                <w:rPr>
                                  <w:rFonts w:ascii="Humnst777 BT" w:hAnsi="Humnst777 BT" w:cs="Humnst777 BT"/>
                                  <w:sz w:val="16"/>
                                  <w:szCs w:val="16"/>
                                </w:rPr>
                              </w:pPr>
                              <w:bookmarkStart w:id="6" w:name="Gradering" w:colFirst="0" w:colLast="0"/>
                            </w:p>
                          </w:tc>
                        </w:tr>
                        <w:bookmarkEnd w:id="6"/>
                      </w:tbl>
                      <w:p w:rsidR="001C02F5" w:rsidRPr="00ED3CF7" w:rsidRDefault="001C02F5">
                        <w:pPr>
                          <w:rPr>
                            <w:sz w:val="4"/>
                            <w:szCs w:val="4"/>
                          </w:rPr>
                        </w:pPr>
                      </w:p>
                    </w:txbxContent>
                  </v:textbox>
                  <w10:wrap anchorx="page" anchory="page"/>
                </v:shape>
              </w:pict>
            </w:r>
            <w:r w:rsidRPr="00ED3CF7">
              <w:rPr>
                <w:spacing w:val="6"/>
                <w:sz w:val="24"/>
                <w:szCs w:val="24"/>
              </w:rPr>
              <w:t>Notat</w:t>
            </w:r>
          </w:p>
        </w:tc>
      </w:tr>
      <w:tr w:rsidR="001C02F5" w:rsidRPr="00ED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1C02F5" w:rsidRPr="00ED3CF7" w:rsidRDefault="001C02F5">
            <w:pPr>
              <w:spacing w:after="40"/>
              <w:rPr>
                <w:rFonts w:ascii="Humnst777 BT" w:hAnsi="Humnst777 BT" w:cs="Humnst777 BT"/>
                <w:sz w:val="14"/>
                <w:szCs w:val="14"/>
              </w:rPr>
            </w:pPr>
            <w:bookmarkStart w:id="7" w:name="Mottakere" w:colFirst="1" w:colLast="1"/>
            <w:r w:rsidRPr="00ED3CF7">
              <w:rPr>
                <w:rFonts w:ascii="Humnst777 BT" w:hAnsi="Humnst777 BT" w:cs="Humnst777 BT"/>
                <w:sz w:val="14"/>
                <w:szCs w:val="14"/>
              </w:rPr>
              <w:t>Til:</w:t>
            </w:r>
          </w:p>
        </w:tc>
        <w:tc>
          <w:tcPr>
            <w:tcW w:w="4110" w:type="dxa"/>
            <w:vAlign w:val="bottom"/>
          </w:tcPr>
          <w:p w:rsidR="001C02F5" w:rsidRPr="00ED3CF7" w:rsidRDefault="001C02F5">
            <w:pPr>
              <w:pStyle w:val="Dokumenttekst"/>
            </w:pPr>
            <w:r>
              <w:t>0.Postmottak øst, 0.Postmottak sør, 0.Postmottak vest, 0.Postmottak midt, 0.Postmottak nord</w:t>
            </w:r>
          </w:p>
        </w:tc>
      </w:tr>
      <w:tr w:rsidR="001C02F5" w:rsidRPr="00ED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1C02F5" w:rsidRPr="00ED3CF7" w:rsidRDefault="001C02F5">
            <w:pPr>
              <w:spacing w:after="40"/>
              <w:rPr>
                <w:rFonts w:ascii="Humnst777 BT" w:hAnsi="Humnst777 BT" w:cs="Humnst777 BT"/>
                <w:sz w:val="14"/>
                <w:szCs w:val="14"/>
              </w:rPr>
            </w:pPr>
            <w:bookmarkStart w:id="8" w:name="NotatFra" w:colFirst="1" w:colLast="1"/>
            <w:bookmarkStart w:id="9" w:name="Fra_T" w:colFirst="0" w:colLast="0"/>
            <w:bookmarkEnd w:id="7"/>
            <w:r w:rsidRPr="00ED3CF7">
              <w:rPr>
                <w:rFonts w:ascii="Humnst777 BT" w:hAnsi="Humnst777 BT" w:cs="Humnst777 BT"/>
                <w:sz w:val="14"/>
                <w:szCs w:val="14"/>
              </w:rPr>
              <w:t>Fra:</w:t>
            </w:r>
          </w:p>
        </w:tc>
        <w:tc>
          <w:tcPr>
            <w:tcW w:w="4110" w:type="dxa"/>
            <w:vAlign w:val="bottom"/>
          </w:tcPr>
          <w:p w:rsidR="001C02F5" w:rsidRPr="00ED3CF7" w:rsidRDefault="001C02F5">
            <w:r>
              <w:t>Trafikant- og kjøretøyavdelingen</w:t>
            </w:r>
          </w:p>
        </w:tc>
      </w:tr>
      <w:tr w:rsidR="001C02F5" w:rsidRPr="00ED3C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1C02F5" w:rsidRPr="00ED3CF7" w:rsidRDefault="001C02F5">
            <w:pPr>
              <w:spacing w:after="40"/>
              <w:rPr>
                <w:rFonts w:ascii="Humnst777 BT" w:hAnsi="Humnst777 BT" w:cs="Humnst777 BT"/>
                <w:sz w:val="14"/>
                <w:szCs w:val="14"/>
              </w:rPr>
            </w:pPr>
            <w:bookmarkStart w:id="10" w:name="Kopi" w:colFirst="1" w:colLast="1"/>
            <w:bookmarkEnd w:id="8"/>
            <w:bookmarkEnd w:id="9"/>
            <w:r w:rsidRPr="00ED3CF7">
              <w:rPr>
                <w:rFonts w:ascii="Humnst777 BT" w:hAnsi="Humnst777 BT" w:cs="Humnst777 BT"/>
                <w:sz w:val="14"/>
                <w:szCs w:val="14"/>
              </w:rPr>
              <w:t>Kopi:</w:t>
            </w:r>
          </w:p>
        </w:tc>
        <w:tc>
          <w:tcPr>
            <w:tcW w:w="4110" w:type="dxa"/>
            <w:vAlign w:val="bottom"/>
          </w:tcPr>
          <w:p w:rsidR="001C02F5" w:rsidRPr="00ED3CF7" w:rsidRDefault="001C02F5"/>
        </w:tc>
      </w:tr>
      <w:bookmarkEnd w:id="10"/>
    </w:tbl>
    <w:p w:rsidR="001C02F5" w:rsidRPr="00ED3CF7" w:rsidRDefault="001C02F5"/>
    <w:p w:rsidR="001C02F5" w:rsidRPr="00ED3CF7" w:rsidRDefault="001C02F5"/>
    <w:p w:rsidR="001C02F5" w:rsidRPr="00ED3CF7" w:rsidRDefault="001C02F5"/>
    <w:p w:rsidR="001C02F5" w:rsidRPr="00ED3CF7" w:rsidRDefault="001C02F5"/>
    <w:tbl>
      <w:tblPr>
        <w:tblW w:w="9211" w:type="dxa"/>
        <w:tblLayout w:type="fixed"/>
        <w:tblCellMar>
          <w:left w:w="70" w:type="dxa"/>
          <w:right w:w="70" w:type="dxa"/>
        </w:tblCellMar>
        <w:tblLook w:val="0000"/>
      </w:tblPr>
      <w:tblGrid>
        <w:gridCol w:w="9211"/>
      </w:tblGrid>
      <w:tr w:rsidR="001C02F5" w:rsidRPr="00ED3CF7">
        <w:tc>
          <w:tcPr>
            <w:tcW w:w="9211" w:type="dxa"/>
          </w:tcPr>
          <w:p w:rsidR="001C02F5" w:rsidRPr="00ED3CF7" w:rsidRDefault="001C02F5">
            <w:pPr>
              <w:pStyle w:val="Overskrift"/>
              <w:spacing w:before="0" w:after="0"/>
              <w:rPr>
                <w:rFonts w:ascii="Humnst777 Blk BT" w:hAnsi="Humnst777 Blk BT" w:cs="Humnst777 Blk BT"/>
                <w:spacing w:val="6"/>
                <w:sz w:val="24"/>
                <w:szCs w:val="24"/>
              </w:rPr>
            </w:pPr>
            <w:bookmarkStart w:id="11" w:name="Overskriften" w:colFirst="0" w:colLast="0"/>
            <w:r>
              <w:rPr>
                <w:rFonts w:ascii="Humnst777 Blk BT" w:hAnsi="Humnst777 Blk BT" w:cs="Humnst777 Blk BT"/>
                <w:spacing w:val="6"/>
                <w:sz w:val="24"/>
                <w:szCs w:val="24"/>
              </w:rPr>
              <w:t>Tilstandsund</w:t>
            </w:r>
            <w:bookmarkStart w:id="12" w:name="_GoBack"/>
            <w:bookmarkEnd w:id="12"/>
            <w:r>
              <w:rPr>
                <w:rFonts w:ascii="Humnst777 Blk BT" w:hAnsi="Humnst777 Blk BT" w:cs="Humnst777 Blk BT"/>
                <w:spacing w:val="6"/>
                <w:sz w:val="24"/>
                <w:szCs w:val="24"/>
              </w:rPr>
              <w:t xml:space="preserve">ersøkelse kap. 7/2012 - Teknisk stand på kjøretøyparken </w:t>
            </w:r>
          </w:p>
        </w:tc>
      </w:tr>
    </w:tbl>
    <w:bookmarkEnd w:id="11"/>
    <w:p w:rsidR="001C02F5" w:rsidRPr="00765139" w:rsidRDefault="001C02F5" w:rsidP="006A2D72">
      <w:pPr>
        <w:pStyle w:val="Heading1"/>
      </w:pPr>
      <w:r>
        <w:t>1.0</w:t>
      </w:r>
      <w:r>
        <w:tab/>
      </w:r>
      <w:r w:rsidRPr="00765139">
        <w:t>Innledning</w:t>
      </w:r>
    </w:p>
    <w:p w:rsidR="001C02F5" w:rsidRDefault="001C02F5" w:rsidP="006A2D72">
      <w:pPr>
        <w:pStyle w:val="Dokumenttekst"/>
      </w:pPr>
      <w:r>
        <w:t xml:space="preserve">Tilstandsundersøkelse kap. 7/2012 om teknisk stand på kjøretøyparken baserer seg på data fra alle periodiske kjøretøykontroller gjennomført i Norge i 2012. Til sammen ble 1 269 195 kjøretøy kontrollert i 2012, hvorav 1 164 887 (91,8 %) var lette kjøretøy (tillatt totalvekt til og med 3 500 kg), 35 261 (2,8 %) var mellomtunge kjøretøy (tillatt totalvekt mellom 3 501 kg og 7 500 kg), og 69 047 (5,4 %) var tunge kjøretøy (tillatt totalvekt over 7 500 kg). </w:t>
      </w:r>
    </w:p>
    <w:p w:rsidR="001C02F5" w:rsidRDefault="001C02F5" w:rsidP="006A2D72">
      <w:pPr>
        <w:pStyle w:val="Dokumenttekst"/>
      </w:pPr>
    </w:p>
    <w:p w:rsidR="001C02F5" w:rsidRDefault="001C02F5" w:rsidP="006A2D72">
      <w:pPr>
        <w:pStyle w:val="Dokumenttekst"/>
      </w:pPr>
    </w:p>
    <w:p w:rsidR="001C02F5" w:rsidRPr="00531048" w:rsidRDefault="001C02F5" w:rsidP="006A2D72">
      <w:pPr>
        <w:pStyle w:val="Dokumenttekst"/>
        <w:jc w:val="cent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5" o:spid="_x0000_i1027" type="#_x0000_t75" style="width:381pt;height:237.75pt;visibility:visible">
            <v:imagedata r:id="rId7" o:title=""/>
            <o:lock v:ext="edit" aspectratio="f"/>
          </v:shape>
        </w:pict>
      </w:r>
    </w:p>
    <w:p w:rsidR="001C02F5" w:rsidRPr="008A6D00" w:rsidRDefault="001C02F5" w:rsidP="006A2D72">
      <w:pPr>
        <w:pStyle w:val="Caption"/>
        <w:jc w:val="center"/>
        <w:rPr>
          <w:rFonts w:ascii="Verdana" w:hAnsi="Verdana" w:cs="Verdana"/>
          <w:sz w:val="16"/>
          <w:szCs w:val="16"/>
        </w:rPr>
      </w:pPr>
      <w:r w:rsidRPr="008A6D00">
        <w:rPr>
          <w:rFonts w:ascii="Verdana" w:hAnsi="Verdana" w:cs="Verdana"/>
          <w:sz w:val="16"/>
          <w:szCs w:val="16"/>
        </w:rPr>
        <w:t xml:space="preserve">Figur </w:t>
      </w:r>
      <w:r w:rsidRPr="008A6D00">
        <w:rPr>
          <w:rFonts w:ascii="Verdana" w:hAnsi="Verdana" w:cs="Verdana"/>
          <w:sz w:val="16"/>
          <w:szCs w:val="16"/>
        </w:rPr>
        <w:fldChar w:fldCharType="begin"/>
      </w:r>
      <w:r w:rsidRPr="008A6D00">
        <w:rPr>
          <w:rFonts w:ascii="Verdana" w:hAnsi="Verdana" w:cs="Verdana"/>
          <w:sz w:val="16"/>
          <w:szCs w:val="16"/>
        </w:rPr>
        <w:instrText xml:space="preserve"> SEQ Figur \* ARABIC </w:instrText>
      </w:r>
      <w:r w:rsidRPr="008A6D00">
        <w:rPr>
          <w:rFonts w:ascii="Verdana" w:hAnsi="Verdana" w:cs="Verdana"/>
          <w:sz w:val="16"/>
          <w:szCs w:val="16"/>
        </w:rPr>
        <w:fldChar w:fldCharType="separate"/>
      </w:r>
      <w:r>
        <w:rPr>
          <w:rFonts w:ascii="Verdana" w:hAnsi="Verdana" w:cs="Verdana"/>
          <w:noProof/>
          <w:sz w:val="16"/>
          <w:szCs w:val="16"/>
        </w:rPr>
        <w:t>1</w:t>
      </w:r>
      <w:r w:rsidRPr="008A6D00">
        <w:rPr>
          <w:rFonts w:ascii="Verdana" w:hAnsi="Verdana" w:cs="Verdana"/>
          <w:sz w:val="16"/>
          <w:szCs w:val="16"/>
        </w:rPr>
        <w:fldChar w:fldCharType="end"/>
      </w:r>
      <w:r w:rsidRPr="008A6D00">
        <w:rPr>
          <w:rFonts w:ascii="Verdana" w:hAnsi="Verdana" w:cs="Verdana"/>
          <w:sz w:val="16"/>
          <w:szCs w:val="16"/>
        </w:rPr>
        <w:t xml:space="preserve"> Andel av det totale antall kontroller </w:t>
      </w:r>
      <w:r>
        <w:rPr>
          <w:rFonts w:ascii="Verdana" w:hAnsi="Verdana" w:cs="Verdana"/>
          <w:sz w:val="16"/>
          <w:szCs w:val="16"/>
        </w:rPr>
        <w:t>for hver kjøretøykategori i 2012.</w:t>
      </w:r>
    </w:p>
    <w:p w:rsidR="001C02F5" w:rsidRPr="00765139" w:rsidRDefault="001C02F5" w:rsidP="006A2D72">
      <w:pPr>
        <w:pStyle w:val="Heading1"/>
      </w:pPr>
      <w:r>
        <w:t>2.0</w:t>
      </w:r>
      <w:r>
        <w:tab/>
      </w:r>
      <w:r w:rsidRPr="00765139">
        <w:t>Bakgrunn</w:t>
      </w:r>
    </w:p>
    <w:p w:rsidR="001C02F5" w:rsidRDefault="001C02F5" w:rsidP="006A2D72">
      <w:pPr>
        <w:pStyle w:val="Dokumenttekst"/>
      </w:pPr>
      <w:r>
        <w:t>Alle norskregistrerte biler med tillatt totalvekt 3 500 kg eller mindre skal, med visse unntak, inn til periodisk kjøretøykontroll fire år etter førstegangsregistrering og deretter annethvert år. For biler og tilhengere med tillatt totalvekt over 3 500 kg, samt kjøretøy registrert for 10 personer eller flere, drosjer og ambulanser gjennomføres det kontroller ett år etter førstegangsregistrering og deretter årlig.</w:t>
      </w:r>
    </w:p>
    <w:p w:rsidR="001C02F5" w:rsidRDefault="001C02F5" w:rsidP="006A2D72">
      <w:pPr>
        <w:pStyle w:val="Dokumenttekst"/>
      </w:pPr>
    </w:p>
    <w:p w:rsidR="001C02F5" w:rsidRPr="008C0276" w:rsidRDefault="001C02F5" w:rsidP="006A2D72">
      <w:pPr>
        <w:pStyle w:val="Dokumenttekst"/>
      </w:pPr>
      <w:r>
        <w:t>Kontrollordningen er hjemlet i forskrift om periodisk kontroll av kjøretøy, og er et resultat av EØS-avtalen. Kontrollordningen ble innført i 1994/95 for tunge kjøretøy og i 1998 for lette kjøretøy. Ved kontrollene blir feil og mangler ved kjøretøyene som kan ha innvirkning på sikkerhet og miljø registrert. Resultatene fra kontrollene blir elektronisk innrapportert til Vegdirektoratet. Dette materialet gir mulighet til å utarbeide statistikk som gir en oversikt over den tekniske tilstanden på kjøretøyparken. Dette kan også gi en viss indikasjon på om periodisk kontroll gir den ønskede effekten på tilstanden, og om ytterligere tiltak bør iverksettes.</w:t>
      </w:r>
    </w:p>
    <w:p w:rsidR="001C02F5" w:rsidRDefault="001C02F5" w:rsidP="006A2D72">
      <w:pPr>
        <w:pStyle w:val="Dokumenttekst"/>
      </w:pPr>
    </w:p>
    <w:p w:rsidR="001C02F5" w:rsidRPr="00765139" w:rsidRDefault="001C02F5" w:rsidP="006A2D72">
      <w:pPr>
        <w:pStyle w:val="Heading1"/>
      </w:pPr>
      <w:r>
        <w:t>3.0</w:t>
      </w:r>
      <w:r>
        <w:tab/>
      </w:r>
      <w:r w:rsidRPr="00765139">
        <w:t>Metode</w:t>
      </w:r>
    </w:p>
    <w:p w:rsidR="001C02F5" w:rsidRDefault="001C02F5" w:rsidP="006A2D72">
      <w:pPr>
        <w:pStyle w:val="Dokumenttekst"/>
      </w:pPr>
      <w:r>
        <w:t>Alle resultater fra de periodiske kontrollene blir lagret elektronisk i en sentral database i Vegdirektoratet. Tilstandsundersøkelsen baserer seg på data hentet ut fra denne databasen. Programmet Oracle Discoverer og programmeringsspråket SQL ble brukt til å hente ut data fra databasen.</w:t>
      </w:r>
    </w:p>
    <w:p w:rsidR="001C02F5" w:rsidRDefault="001C02F5" w:rsidP="006A2D72">
      <w:pPr>
        <w:pStyle w:val="Dokumenttekst"/>
      </w:pPr>
    </w:p>
    <w:p w:rsidR="001C02F5" w:rsidRDefault="001C02F5" w:rsidP="006A2D72">
      <w:pPr>
        <w:pStyle w:val="Dokumenttekst"/>
      </w:pPr>
      <w:r>
        <w:t>Kjøretøy som er inne til periodisk kontroll blir vurdert på bakgrunn av bestemte kontrollpunkter. Antall kontrollpunkter varierer avhengig av kjøretøygruppe og er fordelt på følgende hovedgrupper:</w:t>
      </w:r>
    </w:p>
    <w:p w:rsidR="001C02F5" w:rsidRDefault="001C02F5" w:rsidP="006A2D72">
      <w:pPr>
        <w:pStyle w:val="Dokumentteks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0"/>
        <w:gridCol w:w="7680"/>
      </w:tblGrid>
      <w:tr w:rsidR="001C02F5" w:rsidRPr="005B1A00">
        <w:tc>
          <w:tcPr>
            <w:tcW w:w="480" w:type="dxa"/>
            <w:tcBorders>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p>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0.</w:t>
            </w:r>
          </w:p>
        </w:tc>
        <w:tc>
          <w:tcPr>
            <w:tcW w:w="7680" w:type="dxa"/>
            <w:tcBorders>
              <w:left w:val="nil"/>
              <w:bottom w:val="nil"/>
            </w:tcBorders>
            <w:shd w:val="clear" w:color="auto" w:fill="E6E6E6"/>
          </w:tcPr>
          <w:p w:rsidR="001C02F5" w:rsidRPr="005B1A00" w:rsidRDefault="001C02F5" w:rsidP="00475CFF">
            <w:pPr>
              <w:pStyle w:val="Dokumenttekst"/>
              <w:rPr>
                <w:rFonts w:ascii="Verdana" w:hAnsi="Verdana" w:cs="Verdana"/>
                <w:sz w:val="18"/>
                <w:szCs w:val="18"/>
              </w:rPr>
            </w:pPr>
          </w:p>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Identitet</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1.</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Bremseanlegg</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2.</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Styring</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3.</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Sikt</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4.</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Lys/refleks/elektrisk</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5.</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Hjul/hjuloppheng (aksler/hjuloppheng/fjærer/støtdempere/hjul/dekk)</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6.</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Bærende konstruksjon/karosseri/påbygg</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7.</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Annet utstyr</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8.</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Miljø</w:t>
            </w:r>
          </w:p>
        </w:tc>
      </w:tr>
      <w:tr w:rsidR="001C02F5" w:rsidRPr="005B1A00">
        <w:tc>
          <w:tcPr>
            <w:tcW w:w="480" w:type="dxa"/>
            <w:tcBorders>
              <w:top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9.</w:t>
            </w:r>
          </w:p>
        </w:tc>
        <w:tc>
          <w:tcPr>
            <w:tcW w:w="7680" w:type="dxa"/>
            <w:tcBorders>
              <w:top w:val="nil"/>
              <w:left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Forevises trafikkstasjon</w:t>
            </w:r>
          </w:p>
          <w:p w:rsidR="001C02F5" w:rsidRPr="005B1A00" w:rsidRDefault="001C02F5" w:rsidP="00475CFF">
            <w:pPr>
              <w:pStyle w:val="Dokumenttekst"/>
              <w:rPr>
                <w:rFonts w:ascii="Verdana" w:hAnsi="Verdana" w:cs="Verdana"/>
                <w:sz w:val="18"/>
                <w:szCs w:val="18"/>
              </w:rPr>
            </w:pPr>
          </w:p>
        </w:tc>
      </w:tr>
    </w:tbl>
    <w:p w:rsidR="001C02F5" w:rsidRDefault="001C02F5" w:rsidP="006A2D72">
      <w:pPr>
        <w:pStyle w:val="Dokumenttekst"/>
      </w:pPr>
    </w:p>
    <w:p w:rsidR="001C02F5" w:rsidRDefault="001C02F5" w:rsidP="006A2D72">
      <w:pPr>
        <w:pStyle w:val="Dokumenttekst"/>
      </w:pPr>
      <w:r>
        <w:t>På hvert av punktene blir det påført en av følgende markeringer:</w:t>
      </w:r>
    </w:p>
    <w:p w:rsidR="001C02F5" w:rsidRDefault="001C02F5" w:rsidP="006A2D72">
      <w:pPr>
        <w:pStyle w:val="Dokumentteks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7680"/>
      </w:tblGrid>
      <w:tr w:rsidR="001C02F5" w:rsidRPr="005B1A00">
        <w:tc>
          <w:tcPr>
            <w:tcW w:w="480" w:type="dxa"/>
            <w:tcBorders>
              <w:bottom w:val="nil"/>
              <w:right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 xml:space="preserve"> –:</w:t>
            </w:r>
          </w:p>
        </w:tc>
        <w:tc>
          <w:tcPr>
            <w:tcW w:w="7680" w:type="dxa"/>
            <w:tcBorders>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Kontrollpunktet er ikke aktuelt for vedkommende kjøretøy.</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0:</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Kontrollert og funnet i orden.</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1:</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Feil/mangel som skal rettes, men uten at utført retting behøver å kontrolleres.</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2:</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Feil/mangel som skal rettes, og hvor utført retting skal kontrolleres av godkjent kontrollorgan.</w:t>
            </w:r>
          </w:p>
        </w:tc>
      </w:tr>
      <w:tr w:rsidR="001C02F5" w:rsidRPr="005B1A00">
        <w:tc>
          <w:tcPr>
            <w:tcW w:w="480" w:type="dxa"/>
            <w:tcBorders>
              <w:top w:val="nil"/>
              <w:bottom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3:</w:t>
            </w:r>
          </w:p>
        </w:tc>
        <w:tc>
          <w:tcPr>
            <w:tcW w:w="7680" w:type="dxa"/>
            <w:tcBorders>
              <w:top w:val="nil"/>
              <w:left w:val="nil"/>
              <w:bottom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Feil/mangel som tilsier kjøreforbud og hvor utført retting skal kontrolleres av godkjent kontrollorgan.</w:t>
            </w:r>
          </w:p>
        </w:tc>
      </w:tr>
      <w:tr w:rsidR="001C02F5" w:rsidRPr="005B1A00">
        <w:tc>
          <w:tcPr>
            <w:tcW w:w="480" w:type="dxa"/>
            <w:tcBorders>
              <w:top w:val="nil"/>
              <w:right w:val="nil"/>
            </w:tcBorders>
            <w:shd w:val="clear" w:color="auto" w:fill="E6E6E6"/>
          </w:tcPr>
          <w:p w:rsidR="001C02F5" w:rsidRPr="005B1A00" w:rsidRDefault="001C02F5" w:rsidP="00475CFF">
            <w:pPr>
              <w:pStyle w:val="Dokumenttekst"/>
              <w:jc w:val="right"/>
              <w:rPr>
                <w:rFonts w:ascii="Verdana" w:hAnsi="Verdana" w:cs="Verdana"/>
                <w:sz w:val="18"/>
                <w:szCs w:val="18"/>
              </w:rPr>
            </w:pPr>
            <w:r w:rsidRPr="005B1A00">
              <w:rPr>
                <w:rFonts w:ascii="Verdana" w:hAnsi="Verdana" w:cs="Verdana"/>
                <w:sz w:val="18"/>
                <w:szCs w:val="18"/>
              </w:rPr>
              <w:t>4:</w:t>
            </w:r>
          </w:p>
          <w:p w:rsidR="001C02F5" w:rsidRPr="005B1A00" w:rsidRDefault="001C02F5" w:rsidP="00475CFF">
            <w:pPr>
              <w:pStyle w:val="Dokumenttekst"/>
              <w:jc w:val="right"/>
              <w:rPr>
                <w:rFonts w:ascii="Verdana" w:hAnsi="Verdana" w:cs="Verdana"/>
                <w:sz w:val="18"/>
                <w:szCs w:val="18"/>
              </w:rPr>
            </w:pPr>
          </w:p>
        </w:tc>
        <w:tc>
          <w:tcPr>
            <w:tcW w:w="7680" w:type="dxa"/>
            <w:tcBorders>
              <w:top w:val="nil"/>
              <w:left w:val="nil"/>
            </w:tcBorders>
            <w:shd w:val="clear" w:color="auto" w:fill="E6E6E6"/>
          </w:tcPr>
          <w:p w:rsidR="001C02F5" w:rsidRPr="005B1A00" w:rsidRDefault="001C02F5" w:rsidP="00475CFF">
            <w:pPr>
              <w:pStyle w:val="Dokumenttekst"/>
              <w:rPr>
                <w:rFonts w:ascii="Verdana" w:hAnsi="Verdana" w:cs="Verdana"/>
                <w:sz w:val="18"/>
                <w:szCs w:val="18"/>
              </w:rPr>
            </w:pPr>
            <w:r w:rsidRPr="005B1A00">
              <w:rPr>
                <w:rFonts w:ascii="Verdana" w:hAnsi="Verdana" w:cs="Verdana"/>
                <w:sz w:val="18"/>
                <w:szCs w:val="18"/>
              </w:rPr>
              <w:t>På kontrolltidspunktet ikke mulig å måle på grunn av klimatiske forhold.</w:t>
            </w:r>
          </w:p>
        </w:tc>
      </w:tr>
    </w:tbl>
    <w:p w:rsidR="001C02F5" w:rsidRDefault="001C02F5" w:rsidP="006A2D72">
      <w:pPr>
        <w:pStyle w:val="Dokumenttekst"/>
      </w:pPr>
      <w:r>
        <w:t xml:space="preserve">Som ”godkjent” på kontrollen gjelder at ingen kontrollpunkt har markeringene 2 eller 3. Tilstandsmålene er derfor satt opp som minimum andel kjøretøy uten markeringene 2 eller 3 på de forskjellige hovedgruppene. Ved tilstandsundersøkelsen er det undersøkt hvor stor andel av de kontrollerte kjøretøyene som totalt ikke hadde markeringene 2 eller 3 på noen kontrollpunkter ved første gangs kontroll, og hvor stor andel som ikke hadde markeringene 2 eller 3 på kontrollpunkter under de forskjellige hovedgruppene. </w:t>
      </w:r>
    </w:p>
    <w:p w:rsidR="001C02F5" w:rsidRDefault="001C02F5" w:rsidP="006A2D72">
      <w:pPr>
        <w:pStyle w:val="Dokumenttekst"/>
      </w:pPr>
    </w:p>
    <w:p w:rsidR="001C02F5" w:rsidRDefault="001C02F5" w:rsidP="006A2D72">
      <w:pPr>
        <w:pStyle w:val="Dokumenttekst"/>
      </w:pPr>
      <w:r>
        <w:t>Kjøretøyene er i denne undersøkelsen fordelt på tre grupper:</w:t>
      </w:r>
    </w:p>
    <w:p w:rsidR="001C02F5" w:rsidRDefault="001C02F5" w:rsidP="006A2D72">
      <w:pPr>
        <w:pStyle w:val="Dokumentteks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0"/>
      </w:tblGrid>
      <w:tr w:rsidR="001C02F5" w:rsidRPr="005B1A00">
        <w:tc>
          <w:tcPr>
            <w:tcW w:w="8160" w:type="dxa"/>
            <w:tcBorders>
              <w:bottom w:val="nil"/>
            </w:tcBorders>
            <w:shd w:val="clear" w:color="auto" w:fill="E6E6E6"/>
          </w:tcPr>
          <w:p w:rsidR="001C02F5" w:rsidRPr="005B1A00" w:rsidRDefault="001C02F5" w:rsidP="00475CFF">
            <w:pPr>
              <w:pStyle w:val="Dokumenttekst"/>
              <w:rPr>
                <w:rFonts w:ascii="Verdana" w:hAnsi="Verdana" w:cs="Verdana"/>
                <w:sz w:val="18"/>
                <w:szCs w:val="18"/>
              </w:rPr>
            </w:pPr>
          </w:p>
          <w:p w:rsidR="001C02F5" w:rsidRPr="005B1A00" w:rsidRDefault="001C02F5" w:rsidP="00475CFF">
            <w:pPr>
              <w:pStyle w:val="Dokumenttekst"/>
              <w:numPr>
                <w:ilvl w:val="0"/>
                <w:numId w:val="1"/>
              </w:numPr>
              <w:rPr>
                <w:rFonts w:ascii="Verdana" w:hAnsi="Verdana" w:cs="Verdana"/>
                <w:sz w:val="18"/>
                <w:szCs w:val="18"/>
              </w:rPr>
            </w:pPr>
            <w:r w:rsidRPr="005B1A00">
              <w:rPr>
                <w:rFonts w:ascii="Verdana" w:hAnsi="Verdana" w:cs="Verdana"/>
                <w:sz w:val="18"/>
                <w:szCs w:val="18"/>
              </w:rPr>
              <w:t>Lette kjøretøy, med tillatt totalvekt inntil 3 500 kg.</w:t>
            </w:r>
          </w:p>
        </w:tc>
      </w:tr>
      <w:tr w:rsidR="001C02F5" w:rsidRPr="005B1A00">
        <w:tc>
          <w:tcPr>
            <w:tcW w:w="8160" w:type="dxa"/>
            <w:tcBorders>
              <w:top w:val="nil"/>
              <w:bottom w:val="nil"/>
            </w:tcBorders>
            <w:shd w:val="clear" w:color="auto" w:fill="E6E6E6"/>
          </w:tcPr>
          <w:p w:rsidR="001C02F5" w:rsidRPr="005B1A00" w:rsidRDefault="001C02F5" w:rsidP="00475CFF">
            <w:pPr>
              <w:pStyle w:val="Dokumenttekst"/>
              <w:numPr>
                <w:ilvl w:val="0"/>
                <w:numId w:val="1"/>
              </w:numPr>
              <w:rPr>
                <w:rFonts w:ascii="Verdana" w:hAnsi="Verdana" w:cs="Verdana"/>
                <w:sz w:val="18"/>
                <w:szCs w:val="18"/>
              </w:rPr>
            </w:pPr>
            <w:r w:rsidRPr="005B1A00">
              <w:rPr>
                <w:rFonts w:ascii="Verdana" w:hAnsi="Verdana" w:cs="Verdana"/>
                <w:sz w:val="18"/>
                <w:szCs w:val="18"/>
              </w:rPr>
              <w:t>Mellomtunge kjøretøy, med tillatt totalvekt 3 501 – 7 500 kg.</w:t>
            </w:r>
          </w:p>
        </w:tc>
      </w:tr>
      <w:tr w:rsidR="001C02F5" w:rsidRPr="005B1A00">
        <w:tc>
          <w:tcPr>
            <w:tcW w:w="8160" w:type="dxa"/>
            <w:tcBorders>
              <w:top w:val="nil"/>
            </w:tcBorders>
            <w:shd w:val="clear" w:color="auto" w:fill="E6E6E6"/>
          </w:tcPr>
          <w:p w:rsidR="001C02F5" w:rsidRPr="005B1A00" w:rsidRDefault="001C02F5" w:rsidP="00475CFF">
            <w:pPr>
              <w:pStyle w:val="Dokumenttekst"/>
              <w:numPr>
                <w:ilvl w:val="0"/>
                <w:numId w:val="1"/>
              </w:numPr>
              <w:rPr>
                <w:rFonts w:ascii="Verdana" w:hAnsi="Verdana" w:cs="Verdana"/>
                <w:sz w:val="18"/>
                <w:szCs w:val="18"/>
              </w:rPr>
            </w:pPr>
            <w:r w:rsidRPr="005B1A00">
              <w:rPr>
                <w:rFonts w:ascii="Verdana" w:hAnsi="Verdana" w:cs="Verdana"/>
                <w:sz w:val="18"/>
                <w:szCs w:val="18"/>
              </w:rPr>
              <w:t>Tunge kjøretøy, med tillatt totalvekt over 7 500 kg.</w:t>
            </w:r>
          </w:p>
          <w:p w:rsidR="001C02F5" w:rsidRPr="005B1A00" w:rsidRDefault="001C02F5" w:rsidP="00475CFF">
            <w:pPr>
              <w:pStyle w:val="Dokumenttekst"/>
              <w:rPr>
                <w:rFonts w:ascii="Verdana" w:hAnsi="Verdana" w:cs="Verdana"/>
                <w:sz w:val="18"/>
                <w:szCs w:val="18"/>
              </w:rPr>
            </w:pPr>
          </w:p>
        </w:tc>
      </w:tr>
    </w:tbl>
    <w:p w:rsidR="001C02F5" w:rsidRDefault="001C02F5" w:rsidP="006A2D72">
      <w:pPr>
        <w:pStyle w:val="Dokumenttekst"/>
      </w:pPr>
    </w:p>
    <w:p w:rsidR="001C02F5" w:rsidRDefault="001C02F5" w:rsidP="006A2D72">
      <w:pPr>
        <w:pStyle w:val="Dokumenttekst"/>
      </w:pPr>
      <w:r>
        <w:t>De tunge kjøretøyene deles inn i mellomtunge og tunge kjøretøy. Dette gjør det mulig å skille mellom kjøretøy som gjerne blir brukt til distribusjonskjøring etc. (de mellomtunge) og de virkelig tunge kjøretøyene. Gruppen ”mellomtunge kjøretøy” består i hovedsak av mindre lastebiler, busser registrert for mindre enn 17 personer og kombinertbiler.</w:t>
      </w:r>
    </w:p>
    <w:p w:rsidR="001C02F5" w:rsidRDefault="001C02F5" w:rsidP="006A2D72">
      <w:pPr>
        <w:pStyle w:val="Dokumenttekst"/>
      </w:pPr>
    </w:p>
    <w:p w:rsidR="001C02F5" w:rsidRDefault="001C02F5" w:rsidP="006A2D72">
      <w:pPr>
        <w:pStyle w:val="Heading1"/>
      </w:pPr>
      <w:r>
        <w:br w:type="page"/>
        <w:t>4.0</w:t>
      </w:r>
      <w:r>
        <w:tab/>
      </w:r>
      <w:r w:rsidRPr="00765139">
        <w:t>Resultater</w:t>
      </w:r>
    </w:p>
    <w:p w:rsidR="001C02F5" w:rsidRPr="008C0276" w:rsidRDefault="001C02F5" w:rsidP="006A2D72">
      <w:pPr>
        <w:pStyle w:val="Heading2"/>
      </w:pPr>
      <w:r>
        <w:t>4.1</w:t>
      </w:r>
      <w:r>
        <w:tab/>
        <w:t>Markedsandeler og kontrollfordeling mellom kjøretøygrupper</w:t>
      </w:r>
    </w:p>
    <w:p w:rsidR="001C02F5" w:rsidRDefault="001C02F5" w:rsidP="006A2D72">
      <w:r>
        <w:t xml:space="preserve">Totalt ble det foretatt </w:t>
      </w:r>
      <w:r w:rsidRPr="00F94635">
        <w:t>1</w:t>
      </w:r>
      <w:r>
        <w:t> 269 195 periodiske kjøretøykontroller i 2012. Tabell 1 viser at NAFs teststasjoner foretok 8</w:t>
      </w:r>
      <w:r w:rsidRPr="00F41DCF">
        <w:t>,</w:t>
      </w:r>
      <w:r>
        <w:t>5</w:t>
      </w:r>
      <w:r w:rsidRPr="00F41DCF">
        <w:t xml:space="preserve"> %</w:t>
      </w:r>
      <w:r>
        <w:t xml:space="preserve"> av de periodiske kjøretøykontrollene</w:t>
      </w:r>
      <w:r w:rsidRPr="00F41DCF">
        <w:t>, mens de andre kontrollorganene besørget de resterende 9</w:t>
      </w:r>
      <w:r>
        <w:t>1</w:t>
      </w:r>
      <w:r w:rsidRPr="00F41DCF">
        <w:t>,</w:t>
      </w:r>
      <w:r>
        <w:t>5</w:t>
      </w:r>
      <w:r w:rsidRPr="00F41DCF">
        <w:t xml:space="preserve"> %</w:t>
      </w:r>
      <w:r>
        <w:t xml:space="preserve"> av kontrollene. Kontrollandelen for periodisk kjøretøykontroll hos Statens vegvesen var i lang tid nedadgående, og 1. juli 2009 avviklet Statens vegvesen tilbudet om ordinære periodiske kjøretøykontroller ved sine trafikkstasjoner. </w:t>
      </w:r>
    </w:p>
    <w:p w:rsidR="001C02F5" w:rsidRDefault="001C02F5" w:rsidP="006A2D72"/>
    <w:p w:rsidR="001C02F5" w:rsidRDefault="001C02F5" w:rsidP="006A2D72">
      <w:r>
        <w:t xml:space="preserve">I 2012 holdt </w:t>
      </w:r>
      <w:r w:rsidRPr="00F41DCF">
        <w:t xml:space="preserve">NAF sin markedsandel </w:t>
      </w:r>
      <w:r>
        <w:t>seg på samme nivå som i 2011.</w:t>
      </w:r>
    </w:p>
    <w:p w:rsidR="001C02F5" w:rsidRDefault="001C02F5" w:rsidP="006A2D72"/>
    <w:p w:rsidR="001C02F5" w:rsidRDefault="001C02F5" w:rsidP="006A2D72">
      <w:pPr>
        <w:pStyle w:val="Caption"/>
        <w:rPr>
          <w:rFonts w:ascii="Verdana" w:hAnsi="Verdana" w:cs="Verdana"/>
          <w:sz w:val="16"/>
          <w:szCs w:val="16"/>
        </w:rPr>
      </w:pPr>
      <w:bookmarkStart w:id="13" w:name="_Ref126570748"/>
      <w:r w:rsidRPr="00081FF3">
        <w:rPr>
          <w:rFonts w:ascii="Verdana" w:hAnsi="Verdana" w:cs="Verdana"/>
          <w:sz w:val="16"/>
          <w:szCs w:val="16"/>
        </w:rPr>
        <w:t xml:space="preserve">Tabell </w:t>
      </w:r>
      <w:r w:rsidRPr="00081FF3">
        <w:rPr>
          <w:rFonts w:ascii="Verdana" w:hAnsi="Verdana" w:cs="Verdana"/>
          <w:sz w:val="16"/>
          <w:szCs w:val="16"/>
        </w:rPr>
        <w:fldChar w:fldCharType="begin"/>
      </w:r>
      <w:r w:rsidRPr="00081FF3">
        <w:rPr>
          <w:rFonts w:ascii="Verdana" w:hAnsi="Verdana" w:cs="Verdana"/>
          <w:sz w:val="16"/>
          <w:szCs w:val="16"/>
        </w:rPr>
        <w:instrText xml:space="preserve"> SEQ Tabell \* ARABIC </w:instrText>
      </w:r>
      <w:r w:rsidRPr="00081FF3">
        <w:rPr>
          <w:rFonts w:ascii="Verdana" w:hAnsi="Verdana" w:cs="Verdana"/>
          <w:sz w:val="16"/>
          <w:szCs w:val="16"/>
        </w:rPr>
        <w:fldChar w:fldCharType="separate"/>
      </w:r>
      <w:r>
        <w:rPr>
          <w:rFonts w:ascii="Verdana" w:hAnsi="Verdana" w:cs="Verdana"/>
          <w:noProof/>
          <w:sz w:val="16"/>
          <w:szCs w:val="16"/>
        </w:rPr>
        <w:t>1</w:t>
      </w:r>
      <w:r w:rsidRPr="00081FF3">
        <w:rPr>
          <w:rFonts w:ascii="Verdana" w:hAnsi="Verdana" w:cs="Verdana"/>
          <w:sz w:val="16"/>
          <w:szCs w:val="16"/>
        </w:rPr>
        <w:fldChar w:fldCharType="end"/>
      </w:r>
      <w:bookmarkEnd w:id="13"/>
      <w:r w:rsidRPr="00081FF3">
        <w:rPr>
          <w:rFonts w:ascii="Verdana" w:hAnsi="Verdana" w:cs="Verdana"/>
          <w:sz w:val="16"/>
          <w:szCs w:val="16"/>
        </w:rPr>
        <w:t xml:space="preserve"> Antall kontroller fordelt på kontrollorgan. </w:t>
      </w:r>
    </w:p>
    <w:tbl>
      <w:tblPr>
        <w:tblW w:w="8589" w:type="dxa"/>
        <w:tblInd w:w="55" w:type="dxa"/>
        <w:tblCellMar>
          <w:left w:w="70" w:type="dxa"/>
          <w:right w:w="70" w:type="dxa"/>
        </w:tblCellMar>
        <w:tblLook w:val="0000"/>
      </w:tblPr>
      <w:tblGrid>
        <w:gridCol w:w="3613"/>
        <w:gridCol w:w="2596"/>
        <w:gridCol w:w="2380"/>
      </w:tblGrid>
      <w:tr w:rsidR="001C02F5" w:rsidRPr="000B13BA">
        <w:trPr>
          <w:trHeight w:val="276"/>
        </w:trPr>
        <w:tc>
          <w:tcPr>
            <w:tcW w:w="3613" w:type="dxa"/>
            <w:tcBorders>
              <w:top w:val="single" w:sz="12" w:space="0" w:color="808080"/>
              <w:left w:val="single" w:sz="12" w:space="0" w:color="808080"/>
              <w:bottom w:val="nil"/>
              <w:right w:val="single" w:sz="12" w:space="0" w:color="808080"/>
            </w:tcBorders>
            <w:shd w:val="clear" w:color="auto" w:fill="800000"/>
          </w:tcPr>
          <w:p w:rsidR="001C02F5" w:rsidRDefault="001C02F5" w:rsidP="00475CFF">
            <w:pPr>
              <w:jc w:val="center"/>
              <w:rPr>
                <w:rFonts w:ascii="Verdana" w:hAnsi="Verdana" w:cs="Verdana"/>
                <w:b/>
                <w:bCs/>
                <w:color w:val="FFFFFF"/>
                <w:sz w:val="18"/>
                <w:szCs w:val="18"/>
              </w:rPr>
            </w:pPr>
            <w:r>
              <w:rPr>
                <w:rFonts w:ascii="Verdana" w:hAnsi="Verdana" w:cs="Verdana"/>
                <w:b/>
                <w:bCs/>
                <w:color w:val="FFFFFF"/>
                <w:sz w:val="18"/>
                <w:szCs w:val="18"/>
              </w:rPr>
              <w:t>Kontrollorgan</w:t>
            </w:r>
          </w:p>
        </w:tc>
        <w:tc>
          <w:tcPr>
            <w:tcW w:w="2596" w:type="dxa"/>
            <w:tcBorders>
              <w:top w:val="single" w:sz="12" w:space="0" w:color="808080"/>
              <w:left w:val="nil"/>
              <w:bottom w:val="nil"/>
              <w:right w:val="single" w:sz="12" w:space="0" w:color="808080"/>
            </w:tcBorders>
            <w:shd w:val="clear" w:color="auto" w:fill="800000"/>
          </w:tcPr>
          <w:p w:rsidR="001C02F5" w:rsidRDefault="001C02F5" w:rsidP="00475CFF">
            <w:pPr>
              <w:jc w:val="center"/>
              <w:rPr>
                <w:rFonts w:ascii="Verdana" w:hAnsi="Verdana" w:cs="Verdana"/>
                <w:b/>
                <w:bCs/>
                <w:color w:val="FFFFFF"/>
                <w:sz w:val="18"/>
                <w:szCs w:val="18"/>
              </w:rPr>
            </w:pPr>
            <w:r>
              <w:rPr>
                <w:rFonts w:ascii="Verdana" w:hAnsi="Verdana" w:cs="Verdana"/>
                <w:b/>
                <w:bCs/>
                <w:color w:val="FFFFFF"/>
                <w:sz w:val="18"/>
                <w:szCs w:val="18"/>
              </w:rPr>
              <w:t>Antall kontroller</w:t>
            </w:r>
          </w:p>
        </w:tc>
        <w:tc>
          <w:tcPr>
            <w:tcW w:w="2380" w:type="dxa"/>
            <w:tcBorders>
              <w:top w:val="single" w:sz="12" w:space="0" w:color="808080"/>
              <w:left w:val="nil"/>
              <w:bottom w:val="nil"/>
              <w:right w:val="single" w:sz="12" w:space="0" w:color="808080"/>
            </w:tcBorders>
            <w:shd w:val="clear" w:color="auto" w:fill="800000"/>
          </w:tcPr>
          <w:p w:rsidR="001C02F5" w:rsidRDefault="001C02F5" w:rsidP="00475CFF">
            <w:pPr>
              <w:jc w:val="center"/>
              <w:rPr>
                <w:rFonts w:ascii="Verdana" w:hAnsi="Verdana" w:cs="Verdana"/>
                <w:b/>
                <w:bCs/>
                <w:color w:val="FFFFFF"/>
                <w:sz w:val="18"/>
                <w:szCs w:val="18"/>
              </w:rPr>
            </w:pPr>
            <w:r>
              <w:rPr>
                <w:rFonts w:ascii="Verdana" w:hAnsi="Verdana" w:cs="Verdana"/>
                <w:b/>
                <w:bCs/>
                <w:color w:val="FFFFFF"/>
                <w:sz w:val="18"/>
                <w:szCs w:val="18"/>
              </w:rPr>
              <w:t>Andel</w:t>
            </w:r>
          </w:p>
        </w:tc>
      </w:tr>
      <w:tr w:rsidR="001C02F5" w:rsidRPr="000B13BA">
        <w:trPr>
          <w:trHeight w:val="291"/>
        </w:trPr>
        <w:tc>
          <w:tcPr>
            <w:tcW w:w="3613" w:type="dxa"/>
            <w:tcBorders>
              <w:top w:val="nil"/>
              <w:left w:val="single" w:sz="12" w:space="0" w:color="808080"/>
              <w:bottom w:val="single" w:sz="12" w:space="0" w:color="808080"/>
              <w:right w:val="single" w:sz="12" w:space="0" w:color="808080"/>
            </w:tcBorders>
            <w:shd w:val="clear" w:color="auto" w:fill="FFFF99"/>
          </w:tcPr>
          <w:p w:rsidR="001C02F5" w:rsidRDefault="001C02F5" w:rsidP="00475CFF">
            <w:pPr>
              <w:rPr>
                <w:rFonts w:ascii="Verdana" w:hAnsi="Verdana" w:cs="Verdana"/>
                <w:color w:val="0000FF"/>
                <w:sz w:val="18"/>
                <w:szCs w:val="18"/>
              </w:rPr>
            </w:pPr>
            <w:r>
              <w:rPr>
                <w:rFonts w:ascii="Verdana" w:hAnsi="Verdana" w:cs="Verdana"/>
                <w:color w:val="0000FF"/>
                <w:sz w:val="18"/>
                <w:szCs w:val="18"/>
              </w:rPr>
              <w:t>NAFs teststasjoner</w:t>
            </w:r>
          </w:p>
        </w:tc>
        <w:tc>
          <w:tcPr>
            <w:tcW w:w="2596" w:type="dxa"/>
            <w:tcBorders>
              <w:top w:val="nil"/>
              <w:left w:val="nil"/>
              <w:bottom w:val="single" w:sz="12" w:space="0" w:color="808080"/>
              <w:right w:val="single" w:sz="12" w:space="0" w:color="808080"/>
            </w:tcBorders>
            <w:shd w:val="clear" w:color="auto" w:fill="FFFF99"/>
          </w:tcPr>
          <w:p w:rsidR="001C02F5" w:rsidRDefault="001C02F5" w:rsidP="00475CFF">
            <w:pPr>
              <w:jc w:val="right"/>
              <w:rPr>
                <w:rFonts w:ascii="Verdana" w:hAnsi="Verdana" w:cs="Verdana"/>
                <w:color w:val="0000FF"/>
                <w:sz w:val="18"/>
                <w:szCs w:val="18"/>
              </w:rPr>
            </w:pPr>
            <w:r>
              <w:rPr>
                <w:rFonts w:ascii="Verdana" w:hAnsi="Verdana" w:cs="Verdana"/>
                <w:color w:val="0000FF"/>
                <w:sz w:val="18"/>
                <w:szCs w:val="18"/>
              </w:rPr>
              <w:t>105 845</w:t>
            </w:r>
          </w:p>
        </w:tc>
        <w:tc>
          <w:tcPr>
            <w:tcW w:w="2380" w:type="dxa"/>
            <w:tcBorders>
              <w:top w:val="nil"/>
              <w:left w:val="nil"/>
              <w:bottom w:val="single" w:sz="12" w:space="0" w:color="808080"/>
              <w:right w:val="single" w:sz="12" w:space="0" w:color="808080"/>
            </w:tcBorders>
            <w:shd w:val="clear" w:color="auto" w:fill="FFFF99"/>
          </w:tcPr>
          <w:p w:rsidR="001C02F5" w:rsidRDefault="001C02F5" w:rsidP="00475CFF">
            <w:pPr>
              <w:jc w:val="right"/>
              <w:rPr>
                <w:rFonts w:ascii="Verdana" w:hAnsi="Verdana" w:cs="Verdana"/>
                <w:color w:val="0000FF"/>
                <w:sz w:val="18"/>
                <w:szCs w:val="18"/>
              </w:rPr>
            </w:pPr>
            <w:r>
              <w:rPr>
                <w:rFonts w:ascii="Verdana" w:hAnsi="Verdana" w:cs="Verdana"/>
                <w:color w:val="0000FF"/>
                <w:sz w:val="18"/>
                <w:szCs w:val="18"/>
              </w:rPr>
              <w:t>8,50 %</w:t>
            </w:r>
          </w:p>
        </w:tc>
      </w:tr>
      <w:tr w:rsidR="001C02F5" w:rsidRPr="000B13BA">
        <w:trPr>
          <w:trHeight w:val="291"/>
        </w:trPr>
        <w:tc>
          <w:tcPr>
            <w:tcW w:w="3613" w:type="dxa"/>
            <w:tcBorders>
              <w:top w:val="nil"/>
              <w:left w:val="single" w:sz="12" w:space="0" w:color="808080"/>
              <w:bottom w:val="single" w:sz="12" w:space="0" w:color="808080"/>
              <w:right w:val="single" w:sz="12" w:space="0" w:color="808080"/>
            </w:tcBorders>
            <w:shd w:val="clear" w:color="auto" w:fill="FFFF99"/>
          </w:tcPr>
          <w:p w:rsidR="001C02F5" w:rsidRDefault="001C02F5" w:rsidP="00475CFF">
            <w:pPr>
              <w:rPr>
                <w:rFonts w:ascii="Verdana" w:hAnsi="Verdana" w:cs="Verdana"/>
                <w:color w:val="0000FF"/>
                <w:sz w:val="18"/>
                <w:szCs w:val="18"/>
              </w:rPr>
            </w:pPr>
            <w:r>
              <w:rPr>
                <w:rFonts w:ascii="Verdana" w:hAnsi="Verdana" w:cs="Verdana"/>
                <w:color w:val="0000FF"/>
                <w:sz w:val="18"/>
                <w:szCs w:val="18"/>
              </w:rPr>
              <w:t>Andre kontrollorgan</w:t>
            </w:r>
          </w:p>
        </w:tc>
        <w:tc>
          <w:tcPr>
            <w:tcW w:w="2596" w:type="dxa"/>
            <w:tcBorders>
              <w:top w:val="nil"/>
              <w:left w:val="nil"/>
              <w:bottom w:val="single" w:sz="12" w:space="0" w:color="808080"/>
              <w:right w:val="single" w:sz="12" w:space="0" w:color="808080"/>
            </w:tcBorders>
            <w:shd w:val="clear" w:color="auto" w:fill="FFFF99"/>
          </w:tcPr>
          <w:p w:rsidR="001C02F5" w:rsidRDefault="001C02F5" w:rsidP="00475CFF">
            <w:pPr>
              <w:jc w:val="right"/>
              <w:rPr>
                <w:rFonts w:ascii="Verdana" w:hAnsi="Verdana" w:cs="Verdana"/>
                <w:color w:val="0000FF"/>
                <w:sz w:val="18"/>
                <w:szCs w:val="18"/>
              </w:rPr>
            </w:pPr>
            <w:r>
              <w:rPr>
                <w:rFonts w:ascii="Verdana" w:hAnsi="Verdana" w:cs="Verdana"/>
                <w:color w:val="0000FF"/>
                <w:sz w:val="18"/>
                <w:szCs w:val="18"/>
              </w:rPr>
              <w:t>1 163 350</w:t>
            </w:r>
          </w:p>
        </w:tc>
        <w:tc>
          <w:tcPr>
            <w:tcW w:w="2380" w:type="dxa"/>
            <w:tcBorders>
              <w:top w:val="nil"/>
              <w:left w:val="nil"/>
              <w:bottom w:val="single" w:sz="12" w:space="0" w:color="808080"/>
              <w:right w:val="single" w:sz="12" w:space="0" w:color="808080"/>
            </w:tcBorders>
            <w:shd w:val="clear" w:color="auto" w:fill="FFFF99"/>
          </w:tcPr>
          <w:p w:rsidR="001C02F5" w:rsidRDefault="001C02F5" w:rsidP="00475CFF">
            <w:pPr>
              <w:jc w:val="right"/>
              <w:rPr>
                <w:rFonts w:ascii="Verdana" w:hAnsi="Verdana" w:cs="Verdana"/>
                <w:color w:val="0000FF"/>
                <w:sz w:val="18"/>
                <w:szCs w:val="18"/>
              </w:rPr>
            </w:pPr>
            <w:r>
              <w:rPr>
                <w:rFonts w:ascii="Verdana" w:hAnsi="Verdana" w:cs="Verdana"/>
                <w:color w:val="0000FF"/>
                <w:sz w:val="18"/>
                <w:szCs w:val="18"/>
              </w:rPr>
              <w:t>91,50 %</w:t>
            </w:r>
          </w:p>
        </w:tc>
      </w:tr>
      <w:tr w:rsidR="001C02F5" w:rsidRPr="000B13BA">
        <w:trPr>
          <w:trHeight w:val="291"/>
        </w:trPr>
        <w:tc>
          <w:tcPr>
            <w:tcW w:w="3613" w:type="dxa"/>
            <w:tcBorders>
              <w:top w:val="nil"/>
              <w:left w:val="single" w:sz="12" w:space="0" w:color="808080"/>
              <w:bottom w:val="single" w:sz="12" w:space="0" w:color="808080"/>
              <w:right w:val="single" w:sz="12" w:space="0" w:color="808080"/>
            </w:tcBorders>
            <w:shd w:val="clear" w:color="auto" w:fill="FFFF99"/>
          </w:tcPr>
          <w:p w:rsidR="001C02F5" w:rsidRDefault="001C02F5" w:rsidP="00475CFF">
            <w:pPr>
              <w:rPr>
                <w:rFonts w:ascii="Verdana" w:hAnsi="Verdana" w:cs="Verdana"/>
                <w:color w:val="0000FF"/>
                <w:sz w:val="18"/>
                <w:szCs w:val="18"/>
              </w:rPr>
            </w:pPr>
            <w:r>
              <w:rPr>
                <w:rFonts w:ascii="Verdana" w:hAnsi="Verdana" w:cs="Verdana"/>
                <w:color w:val="0000FF"/>
                <w:sz w:val="18"/>
                <w:szCs w:val="18"/>
              </w:rPr>
              <w:t>Sum</w:t>
            </w:r>
          </w:p>
        </w:tc>
        <w:tc>
          <w:tcPr>
            <w:tcW w:w="2596" w:type="dxa"/>
            <w:tcBorders>
              <w:top w:val="nil"/>
              <w:left w:val="nil"/>
              <w:bottom w:val="single" w:sz="12" w:space="0" w:color="808080"/>
              <w:right w:val="single" w:sz="12" w:space="0" w:color="808080"/>
            </w:tcBorders>
            <w:shd w:val="clear" w:color="auto" w:fill="FFFF99"/>
          </w:tcPr>
          <w:p w:rsidR="001C02F5" w:rsidRDefault="001C02F5" w:rsidP="00475CFF">
            <w:pPr>
              <w:jc w:val="right"/>
              <w:rPr>
                <w:rFonts w:ascii="Verdana" w:hAnsi="Verdana" w:cs="Verdana"/>
                <w:color w:val="0000FF"/>
                <w:sz w:val="18"/>
                <w:szCs w:val="18"/>
              </w:rPr>
            </w:pPr>
            <w:r>
              <w:rPr>
                <w:rFonts w:ascii="Verdana" w:hAnsi="Verdana" w:cs="Verdana"/>
                <w:color w:val="0000FF"/>
                <w:sz w:val="18"/>
                <w:szCs w:val="18"/>
              </w:rPr>
              <w:t>1 269 195</w:t>
            </w:r>
          </w:p>
        </w:tc>
        <w:tc>
          <w:tcPr>
            <w:tcW w:w="2380" w:type="dxa"/>
            <w:tcBorders>
              <w:top w:val="nil"/>
              <w:left w:val="nil"/>
              <w:bottom w:val="single" w:sz="12" w:space="0" w:color="808080"/>
              <w:right w:val="single" w:sz="12" w:space="0" w:color="808080"/>
            </w:tcBorders>
            <w:shd w:val="clear" w:color="auto" w:fill="FFFF99"/>
          </w:tcPr>
          <w:p w:rsidR="001C02F5" w:rsidRDefault="001C02F5" w:rsidP="00475CFF">
            <w:pPr>
              <w:jc w:val="right"/>
              <w:rPr>
                <w:rFonts w:ascii="Verdana" w:hAnsi="Verdana" w:cs="Verdana"/>
                <w:color w:val="0000FF"/>
                <w:sz w:val="18"/>
                <w:szCs w:val="18"/>
              </w:rPr>
            </w:pPr>
            <w:r>
              <w:rPr>
                <w:rFonts w:ascii="Verdana" w:hAnsi="Verdana" w:cs="Verdana"/>
                <w:color w:val="0000FF"/>
                <w:sz w:val="18"/>
                <w:szCs w:val="18"/>
              </w:rPr>
              <w:t>100 %</w:t>
            </w:r>
          </w:p>
        </w:tc>
      </w:tr>
    </w:tbl>
    <w:p w:rsidR="001C02F5" w:rsidRDefault="001C02F5" w:rsidP="006A2D72"/>
    <w:p w:rsidR="001C02F5" w:rsidRDefault="001C02F5" w:rsidP="006A2D72">
      <w:r>
        <w:t>Som det går fram av tabell 2 var 77,6 % av de kontrollerte kjøretøyene personbiler, 12,8 % var varebiler og 9,6 % var registrert på andre kjøretøykoder. Andel kontrollerte personbiler økte med 1,0 prosentpoeng i forhold til 2011, dette tilsvarer 53 068 biler. Andelen varebilkontroller sank med 0,1 prosentpoeng, noe som utgjør en nedgang på 5 386 biler fra året før. Kontrollandel for kombinertbil reduseres med 0,2 prosentpoeng; en reduksjon på 1 237 kontrollerte biler. Andelen for lastebil/trekkbil hadde en nedgang på 0,5 prosentpoeng, en reduksjon på 2 900 biler fra året før.</w:t>
      </w:r>
      <w:r w:rsidRPr="00CA7C0C">
        <w:t xml:space="preserve"> </w:t>
      </w:r>
      <w:r>
        <w:t>Påhengsvogn/slepevogn/semitrailer hadde en nedgang på 0,1 prosentpoeng, kontrollandel for buss en nedgang på 0,1 prosentpoeng, mens kjøretøygruppen motorredskap kun utgjør en ørliten andel av den totale kontrollandelen.</w:t>
      </w:r>
    </w:p>
    <w:p w:rsidR="001C02F5" w:rsidRDefault="001C02F5" w:rsidP="006A2D72"/>
    <w:p w:rsidR="001C02F5" w:rsidRDefault="001C02F5" w:rsidP="006A2D72">
      <w:pPr>
        <w:pStyle w:val="Caption"/>
        <w:keepNext/>
        <w:rPr>
          <w:rFonts w:ascii="Verdana" w:hAnsi="Verdana" w:cs="Verdana"/>
          <w:sz w:val="16"/>
          <w:szCs w:val="16"/>
        </w:rPr>
      </w:pPr>
      <w:bookmarkStart w:id="14" w:name="_Ref126570708"/>
      <w:r w:rsidRPr="00221E13">
        <w:rPr>
          <w:rFonts w:ascii="Verdana" w:hAnsi="Verdana" w:cs="Verdana"/>
          <w:sz w:val="16"/>
          <w:szCs w:val="16"/>
        </w:rPr>
        <w:t xml:space="preserve">Tabell </w:t>
      </w:r>
      <w:r w:rsidRPr="00221E13">
        <w:rPr>
          <w:rFonts w:ascii="Verdana" w:hAnsi="Verdana" w:cs="Verdana"/>
          <w:sz w:val="16"/>
          <w:szCs w:val="16"/>
        </w:rPr>
        <w:fldChar w:fldCharType="begin"/>
      </w:r>
      <w:r w:rsidRPr="00221E13">
        <w:rPr>
          <w:rFonts w:ascii="Verdana" w:hAnsi="Verdana" w:cs="Verdana"/>
          <w:sz w:val="16"/>
          <w:szCs w:val="16"/>
        </w:rPr>
        <w:instrText xml:space="preserve"> SEQ Tabell \* ARABIC </w:instrText>
      </w:r>
      <w:r w:rsidRPr="00221E13">
        <w:rPr>
          <w:rFonts w:ascii="Verdana" w:hAnsi="Verdana" w:cs="Verdana"/>
          <w:sz w:val="16"/>
          <w:szCs w:val="16"/>
        </w:rPr>
        <w:fldChar w:fldCharType="separate"/>
      </w:r>
      <w:r>
        <w:rPr>
          <w:rFonts w:ascii="Verdana" w:hAnsi="Verdana" w:cs="Verdana"/>
          <w:noProof/>
          <w:sz w:val="16"/>
          <w:szCs w:val="16"/>
        </w:rPr>
        <w:t>2</w:t>
      </w:r>
      <w:r w:rsidRPr="00221E13">
        <w:rPr>
          <w:rFonts w:ascii="Verdana" w:hAnsi="Verdana" w:cs="Verdana"/>
          <w:sz w:val="16"/>
          <w:szCs w:val="16"/>
        </w:rPr>
        <w:fldChar w:fldCharType="end"/>
      </w:r>
      <w:bookmarkEnd w:id="14"/>
      <w:r w:rsidRPr="00221E13">
        <w:rPr>
          <w:rFonts w:ascii="Verdana" w:hAnsi="Verdana" w:cs="Verdana"/>
          <w:sz w:val="16"/>
          <w:szCs w:val="16"/>
        </w:rPr>
        <w:t xml:space="preserve"> Antall kjøretøy in</w:t>
      </w:r>
      <w:r>
        <w:rPr>
          <w:rFonts w:ascii="Verdana" w:hAnsi="Verdana" w:cs="Verdana"/>
          <w:sz w:val="16"/>
          <w:szCs w:val="16"/>
        </w:rPr>
        <w:t>ne til periodisk kontroll i 2012</w:t>
      </w:r>
      <w:r w:rsidRPr="00221E13">
        <w:rPr>
          <w:rFonts w:ascii="Verdana" w:hAnsi="Verdana" w:cs="Verdana"/>
          <w:sz w:val="16"/>
          <w:szCs w:val="16"/>
        </w:rPr>
        <w:t>, fordelt på kjøretøygruppe</w:t>
      </w:r>
      <w:r>
        <w:rPr>
          <w:rFonts w:ascii="Verdana" w:hAnsi="Verdana" w:cs="Verdana"/>
          <w:sz w:val="16"/>
          <w:szCs w:val="16"/>
        </w:rPr>
        <w:t>.</w:t>
      </w:r>
    </w:p>
    <w:tbl>
      <w:tblPr>
        <w:tblW w:w="8520" w:type="dxa"/>
        <w:tblInd w:w="55" w:type="dxa"/>
        <w:tblCellMar>
          <w:left w:w="70" w:type="dxa"/>
          <w:right w:w="70" w:type="dxa"/>
        </w:tblCellMar>
        <w:tblLook w:val="00A0"/>
      </w:tblPr>
      <w:tblGrid>
        <w:gridCol w:w="4484"/>
        <w:gridCol w:w="2018"/>
        <w:gridCol w:w="2018"/>
      </w:tblGrid>
      <w:tr w:rsidR="001C02F5" w:rsidRPr="00C86C8B">
        <w:trPr>
          <w:trHeight w:val="273"/>
        </w:trPr>
        <w:tc>
          <w:tcPr>
            <w:tcW w:w="4484" w:type="dxa"/>
            <w:tcBorders>
              <w:top w:val="single" w:sz="8" w:space="0" w:color="808080"/>
              <w:left w:val="single" w:sz="8" w:space="0" w:color="808080"/>
              <w:bottom w:val="nil"/>
              <w:right w:val="single" w:sz="8" w:space="0" w:color="808080"/>
            </w:tcBorders>
            <w:shd w:val="clear" w:color="000000" w:fill="800000"/>
          </w:tcPr>
          <w:p w:rsidR="001C02F5" w:rsidRPr="00C86C8B" w:rsidRDefault="001C02F5" w:rsidP="00475CFF">
            <w:pPr>
              <w:jc w:val="center"/>
              <w:rPr>
                <w:rFonts w:ascii="Verdana" w:hAnsi="Verdana" w:cs="Verdana"/>
                <w:b/>
                <w:bCs/>
                <w:color w:val="FFFFFF"/>
                <w:sz w:val="18"/>
                <w:szCs w:val="18"/>
                <w:lang w:eastAsia="nb-NO"/>
              </w:rPr>
            </w:pPr>
            <w:r w:rsidRPr="00C86C8B">
              <w:rPr>
                <w:rFonts w:ascii="Verdana" w:hAnsi="Verdana" w:cs="Verdana"/>
                <w:b/>
                <w:bCs/>
                <w:color w:val="FFFFFF"/>
                <w:sz w:val="18"/>
                <w:szCs w:val="18"/>
                <w:lang w:eastAsia="nb-NO"/>
              </w:rPr>
              <w:t>Kjøretøygruppe</w:t>
            </w:r>
          </w:p>
        </w:tc>
        <w:tc>
          <w:tcPr>
            <w:tcW w:w="2018" w:type="dxa"/>
            <w:tcBorders>
              <w:top w:val="single" w:sz="8" w:space="0" w:color="808080"/>
              <w:left w:val="nil"/>
              <w:bottom w:val="nil"/>
              <w:right w:val="single" w:sz="8" w:space="0" w:color="808080"/>
            </w:tcBorders>
            <w:shd w:val="clear" w:color="000000" w:fill="800000"/>
          </w:tcPr>
          <w:p w:rsidR="001C02F5" w:rsidRPr="00C86C8B" w:rsidRDefault="001C02F5" w:rsidP="00475CFF">
            <w:pPr>
              <w:jc w:val="center"/>
              <w:rPr>
                <w:rFonts w:ascii="Verdana" w:hAnsi="Verdana" w:cs="Verdana"/>
                <w:b/>
                <w:bCs/>
                <w:color w:val="FFFFFF"/>
                <w:sz w:val="18"/>
                <w:szCs w:val="18"/>
                <w:lang w:eastAsia="nb-NO"/>
              </w:rPr>
            </w:pPr>
            <w:r w:rsidRPr="00C86C8B">
              <w:rPr>
                <w:rFonts w:ascii="Verdana" w:hAnsi="Verdana" w:cs="Verdana"/>
                <w:b/>
                <w:bCs/>
                <w:color w:val="FFFFFF"/>
                <w:sz w:val="18"/>
                <w:szCs w:val="18"/>
                <w:lang w:eastAsia="nb-NO"/>
              </w:rPr>
              <w:t>Antall kjøretøy</w:t>
            </w:r>
          </w:p>
        </w:tc>
        <w:tc>
          <w:tcPr>
            <w:tcW w:w="2018" w:type="dxa"/>
            <w:tcBorders>
              <w:top w:val="single" w:sz="8" w:space="0" w:color="808080"/>
              <w:left w:val="nil"/>
              <w:bottom w:val="nil"/>
              <w:right w:val="single" w:sz="8" w:space="0" w:color="808080"/>
            </w:tcBorders>
            <w:shd w:val="clear" w:color="000000" w:fill="800000"/>
          </w:tcPr>
          <w:p w:rsidR="001C02F5" w:rsidRPr="00C86C8B" w:rsidRDefault="001C02F5" w:rsidP="00475CFF">
            <w:pPr>
              <w:jc w:val="center"/>
              <w:rPr>
                <w:rFonts w:ascii="Verdana" w:hAnsi="Verdana" w:cs="Verdana"/>
                <w:b/>
                <w:bCs/>
                <w:color w:val="FFFFFF"/>
                <w:sz w:val="18"/>
                <w:szCs w:val="18"/>
                <w:lang w:eastAsia="nb-NO"/>
              </w:rPr>
            </w:pPr>
            <w:r w:rsidRPr="00C86C8B">
              <w:rPr>
                <w:rFonts w:ascii="Verdana" w:hAnsi="Verdana" w:cs="Verdana"/>
                <w:b/>
                <w:bCs/>
                <w:color w:val="FFFFFF"/>
                <w:sz w:val="18"/>
                <w:szCs w:val="18"/>
                <w:lang w:eastAsia="nb-NO"/>
              </w:rPr>
              <w:t>Andel</w:t>
            </w:r>
          </w:p>
        </w:tc>
      </w:tr>
      <w:tr w:rsidR="001C02F5" w:rsidRPr="00C86C8B">
        <w:trPr>
          <w:trHeight w:val="273"/>
        </w:trPr>
        <w:tc>
          <w:tcPr>
            <w:tcW w:w="4484" w:type="dxa"/>
            <w:tcBorders>
              <w:top w:val="single" w:sz="8" w:space="0" w:color="808080"/>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Personbil</w:t>
            </w:r>
          </w:p>
        </w:tc>
        <w:tc>
          <w:tcPr>
            <w:tcW w:w="2018" w:type="dxa"/>
            <w:tcBorders>
              <w:top w:val="single" w:sz="8" w:space="0" w:color="808080"/>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984688</w:t>
            </w:r>
          </w:p>
        </w:tc>
        <w:tc>
          <w:tcPr>
            <w:tcW w:w="2018" w:type="dxa"/>
            <w:tcBorders>
              <w:top w:val="single" w:sz="8" w:space="0" w:color="808080"/>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77,6 %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Buss</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16 119</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1,3 %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Kombinertbil</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22 202</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1,7 %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Varebil</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162 798</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12,8 %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Lastebil/trekkbil</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62 591</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4,9 %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Påhengsvogn/slepvogn/semitrailer</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20 325</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1,6 %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Motorredskap</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472</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0,0 %</w:t>
            </w:r>
          </w:p>
        </w:tc>
      </w:tr>
      <w:tr w:rsidR="001C02F5" w:rsidRPr="00C86C8B">
        <w:trPr>
          <w:trHeight w:val="273"/>
        </w:trPr>
        <w:tc>
          <w:tcPr>
            <w:tcW w:w="4484" w:type="dxa"/>
            <w:tcBorders>
              <w:top w:val="nil"/>
              <w:left w:val="single" w:sz="8" w:space="0" w:color="808080"/>
              <w:bottom w:val="single" w:sz="8" w:space="0" w:color="808080"/>
              <w:right w:val="single" w:sz="8" w:space="0" w:color="808080"/>
            </w:tcBorders>
            <w:shd w:val="clear" w:color="000000" w:fill="FFFF99"/>
          </w:tcPr>
          <w:p w:rsidR="001C02F5" w:rsidRPr="00C86C8B" w:rsidRDefault="001C02F5" w:rsidP="00475CFF">
            <w:pPr>
              <w:rPr>
                <w:rFonts w:ascii="Verdana" w:hAnsi="Verdana" w:cs="Verdana"/>
                <w:color w:val="0000FF"/>
                <w:sz w:val="18"/>
                <w:szCs w:val="18"/>
                <w:lang w:eastAsia="nb-NO"/>
              </w:rPr>
            </w:pPr>
            <w:r w:rsidRPr="00C86C8B">
              <w:rPr>
                <w:rFonts w:ascii="Verdana" w:hAnsi="Verdana" w:cs="Verdana"/>
                <w:color w:val="0000FF"/>
                <w:sz w:val="18"/>
                <w:szCs w:val="18"/>
                <w:lang w:eastAsia="nb-NO"/>
              </w:rPr>
              <w:t>Totalt</w:t>
            </w:r>
          </w:p>
        </w:tc>
        <w:tc>
          <w:tcPr>
            <w:tcW w:w="2018" w:type="dxa"/>
            <w:tcBorders>
              <w:top w:val="nil"/>
              <w:left w:val="nil"/>
              <w:bottom w:val="single" w:sz="8" w:space="0" w:color="808080"/>
              <w:right w:val="single" w:sz="8" w:space="0" w:color="808080"/>
            </w:tcBorders>
            <w:shd w:val="clear" w:color="000000" w:fill="FFFF99"/>
          </w:tcPr>
          <w:p w:rsidR="001C02F5" w:rsidRPr="00C86C8B" w:rsidRDefault="001C02F5" w:rsidP="00475CFF">
            <w:pPr>
              <w:jc w:val="right"/>
              <w:rPr>
                <w:rFonts w:ascii="Verdana" w:hAnsi="Verdana" w:cs="Verdana"/>
                <w:color w:val="0000FF"/>
                <w:sz w:val="18"/>
                <w:szCs w:val="18"/>
                <w:lang w:eastAsia="nb-NO"/>
              </w:rPr>
            </w:pPr>
            <w:r w:rsidRPr="00C86C8B">
              <w:rPr>
                <w:rFonts w:ascii="Verdana" w:hAnsi="Verdana" w:cs="Verdana"/>
                <w:color w:val="0000FF"/>
                <w:sz w:val="18"/>
                <w:szCs w:val="18"/>
                <w:lang w:eastAsia="nb-NO"/>
              </w:rPr>
              <w:t>1269195</w:t>
            </w:r>
          </w:p>
        </w:tc>
        <w:tc>
          <w:tcPr>
            <w:tcW w:w="2018" w:type="dxa"/>
            <w:tcBorders>
              <w:top w:val="nil"/>
              <w:left w:val="nil"/>
              <w:bottom w:val="single" w:sz="8" w:space="0" w:color="808080"/>
              <w:right w:val="single" w:sz="8" w:space="0" w:color="808080"/>
            </w:tcBorders>
            <w:shd w:val="clear" w:color="000000" w:fill="FFFF99"/>
            <w:noWrap/>
            <w:vAlign w:val="bottom"/>
          </w:tcPr>
          <w:p w:rsidR="001C02F5" w:rsidRPr="00C86C8B" w:rsidRDefault="001C02F5" w:rsidP="00475CFF">
            <w:pPr>
              <w:jc w:val="right"/>
              <w:rPr>
                <w:rFonts w:ascii="Arial" w:hAnsi="Arial" w:cs="Arial"/>
                <w:color w:val="0000FF"/>
                <w:sz w:val="20"/>
                <w:szCs w:val="20"/>
                <w:lang w:eastAsia="nb-NO"/>
              </w:rPr>
            </w:pPr>
            <w:r w:rsidRPr="00C86C8B">
              <w:rPr>
                <w:rFonts w:ascii="Arial" w:hAnsi="Arial" w:cs="Arial"/>
                <w:color w:val="0000FF"/>
                <w:sz w:val="20"/>
                <w:szCs w:val="20"/>
                <w:lang w:eastAsia="nb-NO"/>
              </w:rPr>
              <w:t>100,0 %</w:t>
            </w:r>
          </w:p>
        </w:tc>
      </w:tr>
    </w:tbl>
    <w:p w:rsidR="001C02F5" w:rsidRDefault="001C02F5" w:rsidP="006A2D72"/>
    <w:p w:rsidR="001C02F5" w:rsidRDefault="001C02F5" w:rsidP="006A2D72"/>
    <w:p w:rsidR="001C02F5" w:rsidRPr="00C86C8B" w:rsidRDefault="001C02F5" w:rsidP="006A2D72"/>
    <w:p w:rsidR="001C02F5" w:rsidRPr="00A2275F" w:rsidRDefault="001C02F5" w:rsidP="006A2D72"/>
    <w:p w:rsidR="001C02F5" w:rsidRDefault="001C02F5" w:rsidP="006A2D72"/>
    <w:p w:rsidR="001C02F5" w:rsidRPr="00DF6754" w:rsidRDefault="001C02F5" w:rsidP="006A2D72">
      <w:pPr>
        <w:pStyle w:val="Heading2"/>
      </w:pPr>
      <w:r w:rsidRPr="00DF6754">
        <w:t>4.2</w:t>
      </w:r>
      <w:r w:rsidRPr="00DF6754">
        <w:tab/>
        <w:t>Lette kjøretøy</w:t>
      </w:r>
    </w:p>
    <w:p w:rsidR="001C02F5" w:rsidRDefault="001C02F5" w:rsidP="006A2D72">
      <w:r>
        <w:t xml:space="preserve">En del kjøretøyeiere velger å utbedre feil før kontrollen. Godkjenningsandelene ved periodisk kjøretøykontroll gjenspeiler derfor ikke nødvendigvis den nøyaktige tilstanden på kjøretøyparken, men utviklingen over tid vil uansett kunne leses ut av resultatene. </w:t>
      </w:r>
    </w:p>
    <w:p w:rsidR="001C02F5" w:rsidRDefault="001C02F5" w:rsidP="006A2D72"/>
    <w:p w:rsidR="001C02F5" w:rsidRDefault="001C02F5" w:rsidP="006A2D72">
      <w:r>
        <w:t xml:space="preserve">Av </w:t>
      </w:r>
      <w:r w:rsidRPr="00EE1EEB">
        <w:t xml:space="preserve">de </w:t>
      </w:r>
      <w:r>
        <w:t xml:space="preserve">1 164 887 </w:t>
      </w:r>
      <w:r w:rsidRPr="00EE1EEB">
        <w:t>lette</w:t>
      </w:r>
      <w:r>
        <w:t xml:space="preserve"> kjøretøyene (≤ 3 500 kg) som var inne til kontroll i 2012 ble 51,4 % godkjent ved førstegangs kontroll. Det vil si at de ikke hadde markeringene 2 eller 3 på noen av kontrollpunktene. I forhold til 2011 sank godkjenningsandelen for denne gruppen noe, med 0,4 prosentpoeng. I 2010 og 2009 var godkjenningsandelen for lette kjøretøy på henholdsvis 51,5 og 51,3 %. Godkjenningsandelene for lette kjøretøy har således holdt seg ganske stabile de siste årene. </w:t>
      </w:r>
    </w:p>
    <w:p w:rsidR="001C02F5" w:rsidRDefault="001C02F5" w:rsidP="006A2D72"/>
    <w:p w:rsidR="001C02F5" w:rsidRDefault="001C02F5" w:rsidP="006A2D72">
      <w:r>
        <w:t xml:space="preserve">I tabell 3 er det vist godkjenningsandelene for de ulike kjøretøygruppene blant lette kjøretøy. </w:t>
      </w:r>
    </w:p>
    <w:p w:rsidR="001C02F5" w:rsidRDefault="001C02F5" w:rsidP="006A2D72">
      <w:r>
        <w:t xml:space="preserve">Personbil og varebil har en godkjenningsandel på henholdsvis 51,6 og 51,7 %. For personbiler er det en nedgang på 0,4 prosentpoeng i forhold til 2011, mens det er en nedgang på 0,8 prosentpoeng for varebiler. For buss registrert som lett kjøretøy er resultatet en fremgang på 0,1 prosentpoeng i forhold til 2011, mens resultatet for kombinertbil innebærer en reduksjon på 0,6 prosentpoeng. </w:t>
      </w:r>
    </w:p>
    <w:p w:rsidR="001C02F5" w:rsidRDefault="001C02F5" w:rsidP="006A2D72"/>
    <w:p w:rsidR="001C02F5" w:rsidRDefault="001C02F5" w:rsidP="006A2D72">
      <w:r>
        <w:t>Hos de resterende tre kjøretøygruppene ser man normalt store endringer i godkjenningsandeler fra år til år. Dette kommer av at det er veldig få kjøretøy som er registrert i disse gruppene i forhold til det totale antall lette kjøretøy, og endringer i antall godkjente i disse gruppene slår derfor veldig sterkt ut når prosentandelen utregnes. For ordens skyld kan det nevnes at gruppen lett lastebil/trekkbil hadde en økning i godkjenningsandel på 0,4 prosentpoeng. For lett påhengsvogn/slepvogn/semitrailer og motorredskap er det så få kjøretøy omfattet at det gir liten mening å registrere prosentvis endring fra år til år.</w:t>
      </w:r>
    </w:p>
    <w:p w:rsidR="001C02F5" w:rsidRDefault="001C02F5" w:rsidP="006A2D72"/>
    <w:p w:rsidR="001C02F5" w:rsidRDefault="001C02F5" w:rsidP="006A2D72">
      <w:pPr>
        <w:pStyle w:val="Caption"/>
        <w:rPr>
          <w:rFonts w:ascii="Verdana" w:hAnsi="Verdana" w:cs="Verdana"/>
          <w:noProof/>
          <w:sz w:val="16"/>
          <w:szCs w:val="16"/>
        </w:rPr>
      </w:pPr>
      <w:bookmarkStart w:id="15" w:name="_Ref126570638"/>
      <w:r w:rsidRPr="00772EFE">
        <w:rPr>
          <w:rFonts w:ascii="Verdana" w:hAnsi="Verdana" w:cs="Verdana"/>
          <w:sz w:val="16"/>
          <w:szCs w:val="16"/>
        </w:rPr>
        <w:t xml:space="preserve">Tabell </w:t>
      </w:r>
      <w:r w:rsidRPr="00772EFE">
        <w:rPr>
          <w:rFonts w:ascii="Verdana" w:hAnsi="Verdana" w:cs="Verdana"/>
          <w:sz w:val="16"/>
          <w:szCs w:val="16"/>
        </w:rPr>
        <w:fldChar w:fldCharType="begin"/>
      </w:r>
      <w:r w:rsidRPr="00772EFE">
        <w:rPr>
          <w:rFonts w:ascii="Verdana" w:hAnsi="Verdana" w:cs="Verdana"/>
          <w:sz w:val="16"/>
          <w:szCs w:val="16"/>
        </w:rPr>
        <w:instrText xml:space="preserve"> SEQ Tabell \* ARABIC </w:instrText>
      </w:r>
      <w:r w:rsidRPr="00772EFE">
        <w:rPr>
          <w:rFonts w:ascii="Verdana" w:hAnsi="Verdana" w:cs="Verdana"/>
          <w:sz w:val="16"/>
          <w:szCs w:val="16"/>
        </w:rPr>
        <w:fldChar w:fldCharType="separate"/>
      </w:r>
      <w:r>
        <w:rPr>
          <w:rFonts w:ascii="Verdana" w:hAnsi="Verdana" w:cs="Verdana"/>
          <w:noProof/>
          <w:sz w:val="16"/>
          <w:szCs w:val="16"/>
        </w:rPr>
        <w:t>3</w:t>
      </w:r>
      <w:r w:rsidRPr="00772EFE">
        <w:rPr>
          <w:rFonts w:ascii="Verdana" w:hAnsi="Verdana" w:cs="Verdana"/>
          <w:sz w:val="16"/>
          <w:szCs w:val="16"/>
        </w:rPr>
        <w:fldChar w:fldCharType="end"/>
      </w:r>
      <w:bookmarkEnd w:id="15"/>
      <w:r w:rsidRPr="00772EFE">
        <w:rPr>
          <w:rFonts w:ascii="Verdana" w:hAnsi="Verdana" w:cs="Verdana"/>
          <w:sz w:val="16"/>
          <w:szCs w:val="16"/>
        </w:rPr>
        <w:t xml:space="preserve"> Antall kontroller og godkjenningsandel</w:t>
      </w:r>
      <w:r>
        <w:rPr>
          <w:rFonts w:ascii="Verdana" w:hAnsi="Verdana" w:cs="Verdana"/>
          <w:sz w:val="16"/>
          <w:szCs w:val="16"/>
        </w:rPr>
        <w:t>er</w:t>
      </w:r>
      <w:r w:rsidRPr="00772EFE">
        <w:rPr>
          <w:rFonts w:ascii="Verdana" w:hAnsi="Verdana" w:cs="Verdana"/>
          <w:sz w:val="16"/>
          <w:szCs w:val="16"/>
        </w:rPr>
        <w:t xml:space="preserve"> </w:t>
      </w:r>
      <w:r>
        <w:rPr>
          <w:rFonts w:ascii="Verdana" w:hAnsi="Verdana" w:cs="Verdana"/>
          <w:sz w:val="16"/>
          <w:szCs w:val="16"/>
        </w:rPr>
        <w:t>for lette kjøretøy (inntil</w:t>
      </w:r>
      <w:r w:rsidRPr="00772EFE">
        <w:rPr>
          <w:rFonts w:ascii="Verdana" w:hAnsi="Verdana" w:cs="Verdana"/>
          <w:sz w:val="16"/>
          <w:szCs w:val="16"/>
        </w:rPr>
        <w:t xml:space="preserve"> 3500 kg)</w:t>
      </w:r>
      <w:r>
        <w:rPr>
          <w:rFonts w:ascii="Verdana" w:hAnsi="Verdana" w:cs="Verdana"/>
          <w:sz w:val="16"/>
          <w:szCs w:val="16"/>
        </w:rPr>
        <w:t>,</w:t>
      </w:r>
      <w:r>
        <w:rPr>
          <w:rFonts w:ascii="Verdana" w:hAnsi="Verdana" w:cs="Verdana"/>
          <w:noProof/>
          <w:sz w:val="16"/>
          <w:szCs w:val="16"/>
        </w:rPr>
        <w:t xml:space="preserve"> fordelt på kjøretøygruppe.</w:t>
      </w:r>
    </w:p>
    <w:tbl>
      <w:tblPr>
        <w:tblW w:w="8804" w:type="dxa"/>
        <w:tblInd w:w="55" w:type="dxa"/>
        <w:tblCellMar>
          <w:left w:w="70" w:type="dxa"/>
          <w:right w:w="70" w:type="dxa"/>
        </w:tblCellMar>
        <w:tblLook w:val="00A0"/>
      </w:tblPr>
      <w:tblGrid>
        <w:gridCol w:w="4306"/>
        <w:gridCol w:w="1938"/>
        <w:gridCol w:w="2560"/>
      </w:tblGrid>
      <w:tr w:rsidR="001C02F5" w:rsidRPr="00741F39">
        <w:trPr>
          <w:trHeight w:val="269"/>
        </w:trPr>
        <w:tc>
          <w:tcPr>
            <w:tcW w:w="4306" w:type="dxa"/>
            <w:tcBorders>
              <w:top w:val="single" w:sz="8" w:space="0" w:color="808080"/>
              <w:left w:val="single" w:sz="8" w:space="0" w:color="808080"/>
              <w:bottom w:val="single" w:sz="8" w:space="0" w:color="808080"/>
              <w:right w:val="single" w:sz="8" w:space="0" w:color="808080"/>
            </w:tcBorders>
            <w:shd w:val="clear" w:color="000000" w:fill="800000"/>
          </w:tcPr>
          <w:p w:rsidR="001C02F5" w:rsidRPr="00741F39" w:rsidRDefault="001C02F5" w:rsidP="00475CFF">
            <w:pPr>
              <w:jc w:val="center"/>
              <w:rPr>
                <w:rFonts w:ascii="Verdana" w:hAnsi="Verdana" w:cs="Verdana"/>
                <w:b/>
                <w:bCs/>
                <w:color w:val="FFFFFF"/>
                <w:sz w:val="18"/>
                <w:szCs w:val="18"/>
                <w:lang w:eastAsia="nb-NO"/>
              </w:rPr>
            </w:pPr>
            <w:r w:rsidRPr="00741F39">
              <w:rPr>
                <w:rFonts w:ascii="Verdana" w:hAnsi="Verdana" w:cs="Verdana"/>
                <w:b/>
                <w:bCs/>
                <w:color w:val="FFFFFF"/>
                <w:sz w:val="18"/>
                <w:szCs w:val="18"/>
                <w:lang w:eastAsia="nb-NO"/>
              </w:rPr>
              <w:t>Kjøretøygruppe</w:t>
            </w:r>
          </w:p>
        </w:tc>
        <w:tc>
          <w:tcPr>
            <w:tcW w:w="1938" w:type="dxa"/>
            <w:tcBorders>
              <w:top w:val="single" w:sz="8" w:space="0" w:color="808080"/>
              <w:left w:val="nil"/>
              <w:bottom w:val="single" w:sz="8" w:space="0" w:color="808080"/>
              <w:right w:val="single" w:sz="8" w:space="0" w:color="808080"/>
            </w:tcBorders>
            <w:shd w:val="clear" w:color="000000" w:fill="800000"/>
          </w:tcPr>
          <w:p w:rsidR="001C02F5" w:rsidRPr="00741F39" w:rsidRDefault="001C02F5" w:rsidP="00475CFF">
            <w:pPr>
              <w:jc w:val="center"/>
              <w:rPr>
                <w:rFonts w:ascii="Verdana" w:hAnsi="Verdana" w:cs="Verdana"/>
                <w:b/>
                <w:bCs/>
                <w:color w:val="FFFFFF"/>
                <w:sz w:val="18"/>
                <w:szCs w:val="18"/>
                <w:lang w:eastAsia="nb-NO"/>
              </w:rPr>
            </w:pPr>
            <w:r w:rsidRPr="00741F39">
              <w:rPr>
                <w:rFonts w:ascii="Verdana" w:hAnsi="Verdana" w:cs="Verdana"/>
                <w:b/>
                <w:bCs/>
                <w:color w:val="FFFFFF"/>
                <w:sz w:val="18"/>
                <w:szCs w:val="18"/>
                <w:lang w:eastAsia="nb-NO"/>
              </w:rPr>
              <w:t>Antall kjøretøy</w:t>
            </w:r>
          </w:p>
        </w:tc>
        <w:tc>
          <w:tcPr>
            <w:tcW w:w="2560" w:type="dxa"/>
            <w:tcBorders>
              <w:top w:val="single" w:sz="8" w:space="0" w:color="808080"/>
              <w:left w:val="nil"/>
              <w:bottom w:val="single" w:sz="8" w:space="0" w:color="808080"/>
              <w:right w:val="single" w:sz="8" w:space="0" w:color="808080"/>
            </w:tcBorders>
            <w:shd w:val="clear" w:color="000000" w:fill="800000"/>
          </w:tcPr>
          <w:p w:rsidR="001C02F5" w:rsidRPr="00741F39" w:rsidRDefault="001C02F5" w:rsidP="00475CFF">
            <w:pPr>
              <w:jc w:val="center"/>
              <w:rPr>
                <w:rFonts w:ascii="Verdana" w:hAnsi="Verdana" w:cs="Verdana"/>
                <w:b/>
                <w:bCs/>
                <w:color w:val="FFFFFF"/>
                <w:sz w:val="18"/>
                <w:szCs w:val="18"/>
                <w:lang w:eastAsia="nb-NO"/>
              </w:rPr>
            </w:pPr>
            <w:r w:rsidRPr="00741F39">
              <w:rPr>
                <w:rFonts w:ascii="Verdana" w:hAnsi="Verdana" w:cs="Verdana"/>
                <w:b/>
                <w:bCs/>
                <w:color w:val="FFFFFF"/>
                <w:sz w:val="18"/>
                <w:szCs w:val="18"/>
                <w:lang w:eastAsia="nb-NO"/>
              </w:rPr>
              <w:t>Godkjenningsandel</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Personbil</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981623</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51,6 %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Buss</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3 691</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41,1 %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Kombinertbil</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16 630</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34,8 %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Varebil</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162 772</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51,7 %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Lastebil/trekkbil</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160</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45,6 %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Påhengsvogn/slepvogn/semitrailer</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5</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80,0 %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Motorredskap</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6</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50,0 %</w:t>
            </w:r>
          </w:p>
        </w:tc>
      </w:tr>
      <w:tr w:rsidR="001C02F5" w:rsidRPr="00741F39">
        <w:trPr>
          <w:trHeight w:val="269"/>
        </w:trPr>
        <w:tc>
          <w:tcPr>
            <w:tcW w:w="4306" w:type="dxa"/>
            <w:tcBorders>
              <w:top w:val="nil"/>
              <w:left w:val="single" w:sz="8" w:space="0" w:color="808080"/>
              <w:bottom w:val="single" w:sz="8" w:space="0" w:color="808080"/>
              <w:right w:val="single" w:sz="8" w:space="0" w:color="808080"/>
            </w:tcBorders>
            <w:shd w:val="clear" w:color="000000" w:fill="FFFF99"/>
          </w:tcPr>
          <w:p w:rsidR="001C02F5" w:rsidRPr="00741F39" w:rsidRDefault="001C02F5" w:rsidP="00475CFF">
            <w:pPr>
              <w:rPr>
                <w:rFonts w:ascii="Verdana" w:hAnsi="Verdana" w:cs="Verdana"/>
                <w:color w:val="0000FF"/>
                <w:sz w:val="18"/>
                <w:szCs w:val="18"/>
                <w:lang w:eastAsia="nb-NO"/>
              </w:rPr>
            </w:pPr>
            <w:r w:rsidRPr="00741F39">
              <w:rPr>
                <w:rFonts w:ascii="Verdana" w:hAnsi="Verdana" w:cs="Verdana"/>
                <w:color w:val="0000FF"/>
                <w:sz w:val="18"/>
                <w:szCs w:val="18"/>
                <w:lang w:eastAsia="nb-NO"/>
              </w:rPr>
              <w:t>Totalt</w:t>
            </w:r>
          </w:p>
        </w:tc>
        <w:tc>
          <w:tcPr>
            <w:tcW w:w="1938"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1164887</w:t>
            </w:r>
          </w:p>
        </w:tc>
        <w:tc>
          <w:tcPr>
            <w:tcW w:w="2560" w:type="dxa"/>
            <w:tcBorders>
              <w:top w:val="nil"/>
              <w:left w:val="nil"/>
              <w:bottom w:val="single" w:sz="8" w:space="0" w:color="808080"/>
              <w:right w:val="single" w:sz="8" w:space="0" w:color="808080"/>
            </w:tcBorders>
            <w:shd w:val="clear" w:color="000000" w:fill="FFFF99"/>
          </w:tcPr>
          <w:p w:rsidR="001C02F5" w:rsidRPr="00741F39" w:rsidRDefault="001C02F5" w:rsidP="00475CFF">
            <w:pPr>
              <w:jc w:val="right"/>
              <w:rPr>
                <w:rFonts w:ascii="Verdana" w:hAnsi="Verdana" w:cs="Verdana"/>
                <w:color w:val="0000FF"/>
                <w:sz w:val="18"/>
                <w:szCs w:val="18"/>
                <w:lang w:eastAsia="nb-NO"/>
              </w:rPr>
            </w:pPr>
            <w:r w:rsidRPr="00741F39">
              <w:rPr>
                <w:rFonts w:ascii="Verdana" w:hAnsi="Verdana" w:cs="Verdana"/>
                <w:color w:val="0000FF"/>
                <w:sz w:val="18"/>
                <w:szCs w:val="18"/>
                <w:lang w:eastAsia="nb-NO"/>
              </w:rPr>
              <w:t>51,4 %</w:t>
            </w:r>
          </w:p>
        </w:tc>
      </w:tr>
    </w:tbl>
    <w:p w:rsidR="001C02F5" w:rsidRDefault="001C02F5" w:rsidP="006A2D72"/>
    <w:p w:rsidR="001C02F5" w:rsidRPr="00741F39"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r w:rsidRPr="00301359">
        <w:t>Tabell 4 viser godkjenningsandelen for de ulike hovedgruppene som kontrollpunktene ved periodisk kjøretøykontroll er inndelt i. Pilene illustrerer hvorvidt resultatet er en nedgang eller en oppgang i forhold til det foregående året. I 2008 hadde alle verdiene økt eller var på samme nivå som tidligere. Dette var første året man kunne vise til slik fremgang. For 201</w:t>
      </w:r>
      <w:r>
        <w:t xml:space="preserve">2 har fire </w:t>
      </w:r>
      <w:r w:rsidRPr="00301359">
        <w:t xml:space="preserve">av hovedgruppene hatt en </w:t>
      </w:r>
      <w:r>
        <w:t>nedgang i godkjenningsandeler</w:t>
      </w:r>
      <w:r w:rsidRPr="00301359">
        <w:t xml:space="preserve">. </w:t>
      </w:r>
      <w:r>
        <w:t>V</w:t>
      </w:r>
      <w:r w:rsidRPr="00301359">
        <w:t xml:space="preserve">ed å studere tallene nærmere finner man at det </w:t>
      </w:r>
      <w:r>
        <w:t xml:space="preserve">for to av gruppene kun er </w:t>
      </w:r>
      <w:r w:rsidRPr="00301359">
        <w:t>mindre endringer</w:t>
      </w:r>
      <w:r>
        <w:t xml:space="preserve"> </w:t>
      </w:r>
      <w:r w:rsidRPr="00301359">
        <w:t>(0,</w:t>
      </w:r>
      <w:r>
        <w:t>1</w:t>
      </w:r>
      <w:r w:rsidRPr="00301359">
        <w:t xml:space="preserve"> </w:t>
      </w:r>
      <w:r>
        <w:t xml:space="preserve">og 0,2 </w:t>
      </w:r>
      <w:r w:rsidRPr="00301359">
        <w:t>prosentpoeng)</w:t>
      </w:r>
      <w:r>
        <w:t xml:space="preserve">. For hovedgruppen </w:t>
      </w:r>
      <w:r w:rsidRPr="00301359">
        <w:t xml:space="preserve">bremser </w:t>
      </w:r>
      <w:r>
        <w:t xml:space="preserve">er det registrert en </w:t>
      </w:r>
      <w:r w:rsidRPr="00301359">
        <w:t xml:space="preserve">nedgang på </w:t>
      </w:r>
      <w:r>
        <w:t>1,0</w:t>
      </w:r>
      <w:r w:rsidRPr="00301359">
        <w:t xml:space="preserve"> prosentpoeng</w:t>
      </w:r>
      <w:r>
        <w:t xml:space="preserve"> i forhold til fjoråret, og bremser er </w:t>
      </w:r>
      <w:r w:rsidRPr="00301359">
        <w:t xml:space="preserve">for øvrig </w:t>
      </w:r>
      <w:r>
        <w:t xml:space="preserve">også </w:t>
      </w:r>
      <w:r w:rsidRPr="00301359">
        <w:t>de</w:t>
      </w:r>
      <w:r>
        <w:t xml:space="preserve">n hovedgruppen som har </w:t>
      </w:r>
      <w:r w:rsidRPr="00301359">
        <w:t xml:space="preserve">lavest godkjenningsandel </w:t>
      </w:r>
      <w:r>
        <w:t xml:space="preserve">i 2012 </w:t>
      </w:r>
      <w:r w:rsidRPr="00301359">
        <w:t>med 6</w:t>
      </w:r>
      <w:r>
        <w:t>8</w:t>
      </w:r>
      <w:r w:rsidRPr="00301359">
        <w:t>,2 %. Bremser har hatt lav godkj</w:t>
      </w:r>
      <w:r>
        <w:t>enningsandel også tidligere år, og ser man på trenden over tid</w:t>
      </w:r>
      <w:r w:rsidRPr="00301359">
        <w:t xml:space="preserve"> har godkjenningsandelen for bremser </w:t>
      </w:r>
      <w:r>
        <w:t xml:space="preserve">på lette kjøretøy – med unntak av en svak fremgang i 2008 - </w:t>
      </w:r>
      <w:r w:rsidRPr="00301359">
        <w:t>totalt sett vært nedadgående siden 200</w:t>
      </w:r>
      <w:r>
        <w:t>2 (vises ikke grafisk lengre tilbake enn 2006)</w:t>
      </w:r>
      <w:r w:rsidRPr="00301359">
        <w:t>.</w:t>
      </w:r>
    </w:p>
    <w:p w:rsidR="001C02F5" w:rsidRPr="009479E2" w:rsidRDefault="001C02F5" w:rsidP="006A2D72"/>
    <w:p w:rsidR="001C02F5" w:rsidRDefault="001C02F5" w:rsidP="006A2D72">
      <w:pPr>
        <w:pStyle w:val="Caption"/>
        <w:keepNext/>
      </w:pPr>
      <w:bookmarkStart w:id="16" w:name="_Ref257705454"/>
      <w:r w:rsidRPr="001B5DAB">
        <w:t xml:space="preserve">Tabell </w:t>
      </w:r>
      <w:fldSimple w:instr=" SEQ Tabell \* ARABIC ">
        <w:r>
          <w:rPr>
            <w:noProof/>
          </w:rPr>
          <w:t>4</w:t>
        </w:r>
      </w:fldSimple>
      <w:bookmarkEnd w:id="16"/>
      <w:r w:rsidRPr="001B5DAB">
        <w:t xml:space="preserve"> Godkjenningsandeler for de enkelte hovedgruppene - lette kjøretøy med tillatt totalvekt</w:t>
      </w:r>
      <w:r w:rsidRPr="003B7819">
        <w:t xml:space="preserve"> inntil 3 500 kg.</w:t>
      </w:r>
      <w:r>
        <w:t xml:space="preserve"> </w:t>
      </w:r>
    </w:p>
    <w:tbl>
      <w:tblPr>
        <w:tblW w:w="9030" w:type="dxa"/>
        <w:tblCellMar>
          <w:left w:w="70" w:type="dxa"/>
          <w:right w:w="70" w:type="dxa"/>
        </w:tblCellMar>
        <w:tblLook w:val="00A0"/>
      </w:tblPr>
      <w:tblGrid>
        <w:gridCol w:w="2424"/>
        <w:gridCol w:w="897"/>
        <w:gridCol w:w="897"/>
        <w:gridCol w:w="897"/>
        <w:gridCol w:w="897"/>
        <w:gridCol w:w="918"/>
        <w:gridCol w:w="1196"/>
        <w:gridCol w:w="904"/>
      </w:tblGrid>
      <w:tr w:rsidR="001C02F5" w:rsidRPr="006C0A87">
        <w:trPr>
          <w:trHeight w:val="221"/>
        </w:trPr>
        <w:tc>
          <w:tcPr>
            <w:tcW w:w="2424" w:type="dxa"/>
            <w:tcBorders>
              <w:top w:val="single" w:sz="8" w:space="0" w:color="969696"/>
              <w:left w:val="single" w:sz="8" w:space="0" w:color="969696"/>
              <w:bottom w:val="nil"/>
              <w:right w:val="nil"/>
            </w:tcBorders>
            <w:shd w:val="clear" w:color="000000" w:fill="800000"/>
          </w:tcPr>
          <w:p w:rsidR="001C02F5" w:rsidRPr="006C0A87" w:rsidRDefault="001C02F5" w:rsidP="00475CFF">
            <w:pP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 </w:t>
            </w:r>
          </w:p>
        </w:tc>
        <w:tc>
          <w:tcPr>
            <w:tcW w:w="6606" w:type="dxa"/>
            <w:gridSpan w:val="7"/>
            <w:tcBorders>
              <w:top w:val="single" w:sz="4" w:space="0" w:color="auto"/>
              <w:left w:val="single" w:sz="4" w:space="0" w:color="auto"/>
              <w:bottom w:val="single" w:sz="4" w:space="0" w:color="auto"/>
              <w:right w:val="single" w:sz="4" w:space="0" w:color="auto"/>
            </w:tcBorders>
            <w:shd w:val="clear" w:color="000000" w:fill="800000"/>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Godkjenningsandeler (%)</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800000"/>
          </w:tcPr>
          <w:p w:rsidR="001C02F5" w:rsidRPr="006C0A87" w:rsidRDefault="001C02F5" w:rsidP="00475CFF">
            <w:pP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Hovedgruppe</w:t>
            </w:r>
          </w:p>
        </w:tc>
        <w:tc>
          <w:tcPr>
            <w:tcW w:w="897" w:type="dxa"/>
            <w:tcBorders>
              <w:top w:val="nil"/>
              <w:left w:val="nil"/>
              <w:bottom w:val="nil"/>
              <w:right w:val="nil"/>
            </w:tcBorders>
            <w:shd w:val="clear" w:color="000000" w:fill="800000"/>
            <w:noWrap/>
            <w:vAlign w:val="bottom"/>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2012</w:t>
            </w:r>
          </w:p>
        </w:tc>
        <w:tc>
          <w:tcPr>
            <w:tcW w:w="897" w:type="dxa"/>
            <w:tcBorders>
              <w:top w:val="nil"/>
              <w:left w:val="nil"/>
              <w:bottom w:val="nil"/>
              <w:right w:val="nil"/>
            </w:tcBorders>
            <w:shd w:val="clear" w:color="000000" w:fill="800000"/>
            <w:noWrap/>
            <w:vAlign w:val="bottom"/>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2011</w:t>
            </w:r>
          </w:p>
        </w:tc>
        <w:tc>
          <w:tcPr>
            <w:tcW w:w="897" w:type="dxa"/>
            <w:tcBorders>
              <w:top w:val="nil"/>
              <w:left w:val="nil"/>
              <w:bottom w:val="nil"/>
              <w:right w:val="nil"/>
            </w:tcBorders>
            <w:shd w:val="clear" w:color="000000" w:fill="800000"/>
            <w:noWrap/>
            <w:vAlign w:val="bottom"/>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2010</w:t>
            </w:r>
          </w:p>
        </w:tc>
        <w:tc>
          <w:tcPr>
            <w:tcW w:w="897" w:type="dxa"/>
            <w:tcBorders>
              <w:top w:val="nil"/>
              <w:left w:val="single" w:sz="4" w:space="0" w:color="auto"/>
              <w:bottom w:val="single" w:sz="4" w:space="0" w:color="auto"/>
              <w:right w:val="single" w:sz="4" w:space="0" w:color="auto"/>
            </w:tcBorders>
            <w:shd w:val="clear" w:color="000000" w:fill="800000"/>
            <w:noWrap/>
            <w:vAlign w:val="bottom"/>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2009</w:t>
            </w:r>
          </w:p>
        </w:tc>
        <w:tc>
          <w:tcPr>
            <w:tcW w:w="918" w:type="dxa"/>
            <w:tcBorders>
              <w:top w:val="nil"/>
              <w:left w:val="nil"/>
              <w:bottom w:val="nil"/>
              <w:right w:val="nil"/>
            </w:tcBorders>
            <w:shd w:val="clear" w:color="000000" w:fill="800000"/>
            <w:noWrap/>
            <w:vAlign w:val="bottom"/>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2008</w:t>
            </w:r>
          </w:p>
        </w:tc>
        <w:tc>
          <w:tcPr>
            <w:tcW w:w="1196" w:type="dxa"/>
            <w:tcBorders>
              <w:top w:val="nil"/>
              <w:left w:val="single" w:sz="8" w:space="0" w:color="808080"/>
              <w:bottom w:val="single" w:sz="8" w:space="0" w:color="808080"/>
              <w:right w:val="single" w:sz="8" w:space="0" w:color="808080"/>
            </w:tcBorders>
            <w:shd w:val="clear" w:color="000000" w:fill="800000"/>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2007</w:t>
            </w:r>
          </w:p>
        </w:tc>
        <w:tc>
          <w:tcPr>
            <w:tcW w:w="903" w:type="dxa"/>
            <w:tcBorders>
              <w:top w:val="nil"/>
              <w:left w:val="nil"/>
              <w:bottom w:val="single" w:sz="8" w:space="0" w:color="808080"/>
              <w:right w:val="single" w:sz="8" w:space="0" w:color="808080"/>
            </w:tcBorders>
            <w:shd w:val="clear" w:color="000000" w:fill="800000"/>
            <w:noWrap/>
          </w:tcPr>
          <w:p w:rsidR="001C02F5" w:rsidRPr="006C0A87" w:rsidRDefault="001C02F5" w:rsidP="00475CFF">
            <w:pPr>
              <w:jc w:val="center"/>
              <w:rPr>
                <w:rFonts w:ascii="Verdana" w:hAnsi="Verdana" w:cs="Verdana"/>
                <w:b/>
                <w:bCs/>
                <w:color w:val="FFFFFF"/>
                <w:sz w:val="18"/>
                <w:szCs w:val="18"/>
                <w:lang w:eastAsia="nb-NO"/>
              </w:rPr>
            </w:pPr>
            <w:r w:rsidRPr="006C0A87">
              <w:rPr>
                <w:rFonts w:ascii="Verdana" w:hAnsi="Verdana" w:cs="Verdana"/>
                <w:b/>
                <w:bCs/>
                <w:color w:val="FFFFFF"/>
                <w:sz w:val="18"/>
                <w:szCs w:val="18"/>
                <w:lang w:eastAsia="nb-NO"/>
              </w:rPr>
              <w:t>2006</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Bremser</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68,2 </w:t>
            </w:r>
            <w:r w:rsidRPr="006C0A87">
              <w:rPr>
                <w:rFonts w:ascii="Wingdings" w:hAnsi="Wingdings" w:cs="Wingdings"/>
                <w:color w:val="FF0000"/>
                <w:sz w:val="18"/>
                <w:szCs w:val="18"/>
                <w:lang w:eastAsia="nb-NO"/>
              </w:rPr>
              <w:t></w:t>
            </w:r>
          </w:p>
        </w:tc>
        <w:tc>
          <w:tcPr>
            <w:tcW w:w="897" w:type="dxa"/>
            <w:tcBorders>
              <w:top w:val="single" w:sz="4" w:space="0" w:color="auto"/>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69,2 </w:t>
            </w:r>
            <w:r w:rsidRPr="006C0A87">
              <w:rPr>
                <w:rFonts w:ascii="Wingdings" w:hAnsi="Wingdings" w:cs="Wingdings"/>
                <w:color w:val="FF0000"/>
                <w:sz w:val="18"/>
                <w:szCs w:val="18"/>
                <w:lang w:eastAsia="nb-NO"/>
              </w:rPr>
              <w:t></w:t>
            </w:r>
          </w:p>
        </w:tc>
        <w:tc>
          <w:tcPr>
            <w:tcW w:w="897" w:type="dxa"/>
            <w:tcBorders>
              <w:top w:val="single" w:sz="4" w:space="0" w:color="auto"/>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69,6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69,7 </w:t>
            </w:r>
            <w:r w:rsidRPr="006C0A87">
              <w:rPr>
                <w:rFonts w:ascii="Wingdings" w:hAnsi="Wingdings" w:cs="Wingdings"/>
                <w:color w:val="FF0000"/>
                <w:sz w:val="18"/>
                <w:szCs w:val="18"/>
                <w:lang w:eastAsia="nb-NO"/>
              </w:rPr>
              <w:t></w:t>
            </w:r>
          </w:p>
        </w:tc>
        <w:tc>
          <w:tcPr>
            <w:tcW w:w="918" w:type="dxa"/>
            <w:tcBorders>
              <w:top w:val="single" w:sz="8" w:space="0" w:color="808080"/>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70,1</w:t>
            </w:r>
            <w:r w:rsidRPr="006C0A87">
              <w:rPr>
                <w:rFonts w:ascii="Arial" w:hAnsi="Arial" w:cs="Arial"/>
                <w:color w:val="0000FF"/>
                <w:sz w:val="18"/>
                <w:szCs w:val="18"/>
                <w:lang w:eastAsia="nb-NO"/>
              </w:rPr>
              <w:t xml:space="preserve"> </w:t>
            </w:r>
            <w:r w:rsidRPr="006C0A87">
              <w:rPr>
                <w:rFonts w:ascii="Wingdings" w:hAnsi="Wingdings" w:cs="Wingdings"/>
                <w:color w:val="00FF00"/>
                <w:sz w:val="18"/>
                <w:szCs w:val="18"/>
                <w:lang w:eastAsia="nb-NO"/>
              </w:rPr>
              <w:t></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70,0 </w:t>
            </w:r>
            <w:r w:rsidRPr="006C0A87">
              <w:rPr>
                <w:rFonts w:ascii="Wingdings" w:hAnsi="Wingdings" w:cs="Wingdings"/>
                <w:color w:val="FF0000"/>
                <w:sz w:val="18"/>
                <w:szCs w:val="18"/>
                <w:lang w:eastAsia="nb-NO"/>
              </w:rPr>
              <w:t></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70,3 </w:t>
            </w:r>
            <w:r w:rsidRPr="006C0A87">
              <w:rPr>
                <w:rFonts w:ascii="Wingdings" w:hAnsi="Wingdings" w:cs="Wingdings"/>
                <w:color w:val="FF0000"/>
                <w:sz w:val="18"/>
                <w:szCs w:val="18"/>
                <w:lang w:eastAsia="nb-NO"/>
              </w:rPr>
              <w:t></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Styring</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90,7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90,4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90,8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91,0 </w:t>
            </w:r>
            <w:r w:rsidRPr="006C0A87">
              <w:rPr>
                <w:rFonts w:ascii="Wingdings" w:hAnsi="Wingdings" w:cs="Wingdings"/>
                <w:color w:val="FF0000"/>
                <w:sz w:val="18"/>
                <w:szCs w:val="18"/>
                <w:lang w:eastAsia="nb-NO"/>
              </w:rPr>
              <w:t></w:t>
            </w:r>
          </w:p>
        </w:tc>
        <w:tc>
          <w:tcPr>
            <w:tcW w:w="918" w:type="dxa"/>
            <w:tcBorders>
              <w:top w:val="nil"/>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91,1</w:t>
            </w:r>
            <w:r w:rsidRPr="006C0A87">
              <w:rPr>
                <w:rFonts w:ascii="Arial" w:hAnsi="Arial" w:cs="Arial"/>
                <w:color w:val="0000FF"/>
                <w:sz w:val="18"/>
                <w:szCs w:val="18"/>
                <w:lang w:eastAsia="nb-NO"/>
              </w:rPr>
              <w:t xml:space="preserve"> </w:t>
            </w:r>
            <w:r w:rsidRPr="006C0A87">
              <w:rPr>
                <w:rFonts w:ascii="Wingdings" w:hAnsi="Wingdings" w:cs="Wingdings"/>
                <w:color w:val="00FF00"/>
                <w:sz w:val="18"/>
                <w:szCs w:val="18"/>
                <w:lang w:eastAsia="nb-NO"/>
              </w:rPr>
              <w:t></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91,0 </w:t>
            </w:r>
            <w:r w:rsidRPr="006C0A87">
              <w:rPr>
                <w:rFonts w:ascii="Wingdings" w:hAnsi="Wingdings" w:cs="Wingdings"/>
                <w:color w:val="00FF00"/>
                <w:sz w:val="18"/>
                <w:szCs w:val="18"/>
                <w:lang w:eastAsia="nb-NO"/>
              </w:rPr>
              <w:t></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90,8 </w:t>
            </w:r>
            <w:r w:rsidRPr="006C0A87">
              <w:rPr>
                <w:rFonts w:ascii="Wingdings" w:hAnsi="Wingdings" w:cs="Wingdings"/>
                <w:color w:val="00FF00"/>
                <w:sz w:val="18"/>
                <w:szCs w:val="18"/>
                <w:lang w:eastAsia="nb-NO"/>
              </w:rPr>
              <w:t></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Sikt</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rPr>
                <w:rFonts w:ascii="Verdana" w:hAnsi="Verdana" w:cs="Verdana"/>
                <w:color w:val="0000FF"/>
                <w:sz w:val="18"/>
                <w:szCs w:val="18"/>
                <w:lang w:eastAsia="nb-NO"/>
              </w:rPr>
            </w:pPr>
            <w:r>
              <w:rPr>
                <w:rFonts w:ascii="Verdana" w:hAnsi="Verdana" w:cs="Verdana"/>
                <w:color w:val="0000FF"/>
                <w:sz w:val="18"/>
                <w:szCs w:val="18"/>
                <w:lang w:eastAsia="nb-NO"/>
              </w:rPr>
              <w:t xml:space="preserve"> </w:t>
            </w:r>
            <w:r w:rsidRPr="006C0A87">
              <w:rPr>
                <w:rFonts w:ascii="Verdana" w:hAnsi="Verdana" w:cs="Verdana"/>
                <w:color w:val="0000FF"/>
                <w:sz w:val="18"/>
                <w:szCs w:val="18"/>
                <w:lang w:eastAsia="nb-NO"/>
              </w:rPr>
              <w:t>97,1 -</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97,1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96,9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96,5 </w:t>
            </w:r>
            <w:r w:rsidRPr="006C0A87">
              <w:rPr>
                <w:rFonts w:ascii="Wingdings" w:hAnsi="Wingdings" w:cs="Wingdings"/>
                <w:color w:val="FF0000"/>
                <w:sz w:val="18"/>
                <w:szCs w:val="18"/>
                <w:lang w:eastAsia="nb-NO"/>
              </w:rPr>
              <w:t></w:t>
            </w:r>
          </w:p>
        </w:tc>
        <w:tc>
          <w:tcPr>
            <w:tcW w:w="918" w:type="dxa"/>
            <w:tcBorders>
              <w:top w:val="nil"/>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96,6  –</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96,6 –</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96,6 –</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Lys/refleks/el.utstyr</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84,0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84,1 -</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84,1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83,7 </w:t>
            </w:r>
            <w:r w:rsidRPr="006C0A87">
              <w:rPr>
                <w:rFonts w:ascii="Wingdings" w:hAnsi="Wingdings" w:cs="Wingdings"/>
                <w:color w:val="FF0000"/>
                <w:sz w:val="18"/>
                <w:szCs w:val="18"/>
                <w:lang w:eastAsia="nb-NO"/>
              </w:rPr>
              <w:t></w:t>
            </w:r>
          </w:p>
        </w:tc>
        <w:tc>
          <w:tcPr>
            <w:tcW w:w="918" w:type="dxa"/>
            <w:tcBorders>
              <w:top w:val="nil"/>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84,0 </w:t>
            </w:r>
            <w:r w:rsidRPr="006C0A87">
              <w:rPr>
                <w:rFonts w:ascii="Wingdings" w:hAnsi="Wingdings" w:cs="Wingdings"/>
                <w:color w:val="00FF00"/>
                <w:sz w:val="18"/>
                <w:szCs w:val="18"/>
                <w:lang w:eastAsia="nb-NO"/>
              </w:rPr>
              <w:t></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83,9 </w:t>
            </w:r>
            <w:r w:rsidRPr="006C0A87">
              <w:rPr>
                <w:rFonts w:ascii="Wingdings" w:hAnsi="Wingdings" w:cs="Wingdings"/>
                <w:color w:val="FF0000"/>
                <w:sz w:val="18"/>
                <w:szCs w:val="18"/>
                <w:lang w:eastAsia="nb-NO"/>
              </w:rPr>
              <w:t></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84,1 </w:t>
            </w:r>
            <w:r w:rsidRPr="006C0A87">
              <w:rPr>
                <w:rFonts w:ascii="Wingdings" w:hAnsi="Wingdings" w:cs="Wingdings"/>
                <w:color w:val="FF0000"/>
                <w:sz w:val="18"/>
                <w:szCs w:val="18"/>
                <w:lang w:eastAsia="nb-NO"/>
              </w:rPr>
              <w:t></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Hjul/hjuloppheng</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74,3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rPr>
                <w:rFonts w:ascii="Verdana" w:hAnsi="Verdana" w:cs="Verdana"/>
                <w:color w:val="3333CC"/>
                <w:sz w:val="18"/>
                <w:szCs w:val="18"/>
                <w:lang w:eastAsia="nb-NO"/>
              </w:rPr>
            </w:pPr>
            <w:r>
              <w:rPr>
                <w:rFonts w:ascii="Verdana" w:hAnsi="Verdana" w:cs="Verdana"/>
                <w:color w:val="3333CC"/>
                <w:sz w:val="18"/>
                <w:szCs w:val="18"/>
                <w:lang w:eastAsia="nb-NO"/>
              </w:rPr>
              <w:t xml:space="preserve"> </w:t>
            </w:r>
            <w:r w:rsidRPr="006C0A87">
              <w:rPr>
                <w:rFonts w:ascii="Verdana" w:hAnsi="Verdana" w:cs="Verdana"/>
                <w:color w:val="3333CC"/>
                <w:sz w:val="18"/>
                <w:szCs w:val="18"/>
                <w:lang w:eastAsia="nb-NO"/>
              </w:rPr>
              <w:t>74,4 -</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74,4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74,6 </w:t>
            </w:r>
            <w:r w:rsidRPr="006C0A87">
              <w:rPr>
                <w:rFonts w:ascii="Wingdings" w:hAnsi="Wingdings" w:cs="Wingdings"/>
                <w:color w:val="FF0000"/>
                <w:sz w:val="18"/>
                <w:szCs w:val="18"/>
                <w:lang w:eastAsia="nb-NO"/>
              </w:rPr>
              <w:t></w:t>
            </w:r>
          </w:p>
        </w:tc>
        <w:tc>
          <w:tcPr>
            <w:tcW w:w="918" w:type="dxa"/>
            <w:tcBorders>
              <w:top w:val="nil"/>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75,3 </w:t>
            </w:r>
            <w:r w:rsidRPr="006C0A87">
              <w:rPr>
                <w:rFonts w:ascii="Wingdings" w:hAnsi="Wingdings" w:cs="Wingdings"/>
                <w:color w:val="00FF00"/>
                <w:sz w:val="18"/>
                <w:szCs w:val="18"/>
                <w:lang w:eastAsia="nb-NO"/>
              </w:rPr>
              <w:t></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75,2 </w:t>
            </w:r>
            <w:r w:rsidRPr="006C0A87">
              <w:rPr>
                <w:rFonts w:ascii="Wingdings" w:hAnsi="Wingdings" w:cs="Wingdings"/>
                <w:color w:val="00FF00"/>
                <w:sz w:val="18"/>
                <w:szCs w:val="18"/>
                <w:lang w:eastAsia="nb-NO"/>
              </w:rPr>
              <w:t></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75,0 </w:t>
            </w:r>
            <w:r w:rsidRPr="006C0A87">
              <w:rPr>
                <w:rFonts w:ascii="Wingdings" w:hAnsi="Wingdings" w:cs="Wingdings"/>
                <w:color w:val="FF0000"/>
                <w:sz w:val="18"/>
                <w:szCs w:val="18"/>
                <w:lang w:eastAsia="nb-NO"/>
              </w:rPr>
              <w:t></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Karosseri/påbygg/…</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94,2 -</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94,2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93,8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93,4</w:t>
            </w:r>
            <w:r w:rsidRPr="006C0A87">
              <w:rPr>
                <w:rFonts w:ascii="Verdana" w:hAnsi="Verdana" w:cs="Verdana"/>
                <w:color w:val="00FF00"/>
                <w:sz w:val="18"/>
                <w:szCs w:val="18"/>
                <w:lang w:eastAsia="nb-NO"/>
              </w:rPr>
              <w:t xml:space="preserve"> </w:t>
            </w:r>
            <w:r w:rsidRPr="006C0A87">
              <w:rPr>
                <w:rFonts w:ascii="Wingdings" w:hAnsi="Wingdings" w:cs="Wingdings"/>
                <w:color w:val="00FF00"/>
                <w:sz w:val="18"/>
                <w:szCs w:val="18"/>
                <w:lang w:eastAsia="nb-NO"/>
              </w:rPr>
              <w:t></w:t>
            </w:r>
          </w:p>
        </w:tc>
        <w:tc>
          <w:tcPr>
            <w:tcW w:w="918" w:type="dxa"/>
            <w:tcBorders>
              <w:top w:val="nil"/>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93,2 </w:t>
            </w:r>
            <w:r w:rsidRPr="006C0A87">
              <w:rPr>
                <w:rFonts w:ascii="Wingdings" w:hAnsi="Wingdings" w:cs="Wingdings"/>
                <w:color w:val="00FF00"/>
                <w:sz w:val="18"/>
                <w:szCs w:val="18"/>
                <w:lang w:eastAsia="nb-NO"/>
              </w:rPr>
              <w:t></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92,7 </w:t>
            </w:r>
            <w:r w:rsidRPr="006C0A87">
              <w:rPr>
                <w:rFonts w:ascii="Wingdings" w:hAnsi="Wingdings" w:cs="Wingdings"/>
                <w:color w:val="00FF00"/>
                <w:sz w:val="18"/>
                <w:szCs w:val="18"/>
                <w:lang w:eastAsia="nb-NO"/>
              </w:rPr>
              <w:t></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92,0 </w:t>
            </w:r>
            <w:r w:rsidRPr="006C0A87">
              <w:rPr>
                <w:rFonts w:ascii="Wingdings" w:hAnsi="Wingdings" w:cs="Wingdings"/>
                <w:color w:val="00FF00"/>
                <w:sz w:val="18"/>
                <w:szCs w:val="18"/>
                <w:lang w:eastAsia="nb-NO"/>
              </w:rPr>
              <w:t></w:t>
            </w:r>
          </w:p>
        </w:tc>
      </w:tr>
      <w:tr w:rsidR="001C02F5" w:rsidRPr="006C0A87">
        <w:trPr>
          <w:trHeight w:val="221"/>
        </w:trPr>
        <w:tc>
          <w:tcPr>
            <w:tcW w:w="2424" w:type="dxa"/>
            <w:tcBorders>
              <w:top w:val="nil"/>
              <w:left w:val="single" w:sz="8" w:space="0" w:color="969696"/>
              <w:bottom w:val="single" w:sz="8" w:space="0" w:color="808080"/>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Annet utstyr</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98,7 -</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98,7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98,6 –</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98,5 </w:t>
            </w:r>
            <w:r w:rsidRPr="006C0A87">
              <w:rPr>
                <w:rFonts w:ascii="Wingdings" w:hAnsi="Wingdings" w:cs="Wingdings"/>
                <w:color w:val="00FF00"/>
                <w:sz w:val="18"/>
                <w:szCs w:val="18"/>
                <w:lang w:eastAsia="nb-NO"/>
              </w:rPr>
              <w:t></w:t>
            </w:r>
          </w:p>
        </w:tc>
        <w:tc>
          <w:tcPr>
            <w:tcW w:w="918" w:type="dxa"/>
            <w:tcBorders>
              <w:top w:val="nil"/>
              <w:left w:val="nil"/>
              <w:bottom w:val="single" w:sz="8" w:space="0" w:color="808080"/>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98,4 –</w:t>
            </w:r>
          </w:p>
        </w:tc>
        <w:tc>
          <w:tcPr>
            <w:tcW w:w="1196" w:type="dxa"/>
            <w:tcBorders>
              <w:top w:val="nil"/>
              <w:left w:val="single" w:sz="8" w:space="0" w:color="808080"/>
              <w:bottom w:val="single" w:sz="8" w:space="0" w:color="808080"/>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98,4 </w:t>
            </w:r>
            <w:r w:rsidRPr="006C0A87">
              <w:rPr>
                <w:rFonts w:ascii="Wingdings" w:hAnsi="Wingdings" w:cs="Wingdings"/>
                <w:color w:val="00FF00"/>
                <w:sz w:val="18"/>
                <w:szCs w:val="18"/>
                <w:lang w:eastAsia="nb-NO"/>
              </w:rPr>
              <w:t></w:t>
            </w:r>
          </w:p>
        </w:tc>
        <w:tc>
          <w:tcPr>
            <w:tcW w:w="903" w:type="dxa"/>
            <w:tcBorders>
              <w:top w:val="nil"/>
              <w:left w:val="nil"/>
              <w:bottom w:val="single" w:sz="8" w:space="0" w:color="808080"/>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98,3 –</w:t>
            </w:r>
          </w:p>
        </w:tc>
      </w:tr>
      <w:tr w:rsidR="001C02F5" w:rsidRPr="006C0A87">
        <w:trPr>
          <w:trHeight w:val="221"/>
        </w:trPr>
        <w:tc>
          <w:tcPr>
            <w:tcW w:w="2424" w:type="dxa"/>
            <w:tcBorders>
              <w:top w:val="nil"/>
              <w:left w:val="single" w:sz="8" w:space="0" w:color="969696"/>
              <w:bottom w:val="single" w:sz="8" w:space="0" w:color="969696"/>
              <w:right w:val="single" w:sz="8" w:space="0" w:color="808080"/>
            </w:tcBorders>
            <w:shd w:val="clear" w:color="000000" w:fill="FFFF99"/>
          </w:tcPr>
          <w:p w:rsidR="001C02F5" w:rsidRPr="006C0A87" w:rsidRDefault="001C02F5" w:rsidP="00475CFF">
            <w:pPr>
              <w:rPr>
                <w:rFonts w:ascii="Verdana" w:hAnsi="Verdana" w:cs="Verdana"/>
                <w:color w:val="0000FF"/>
                <w:sz w:val="18"/>
                <w:szCs w:val="18"/>
                <w:lang w:eastAsia="nb-NO"/>
              </w:rPr>
            </w:pPr>
            <w:r w:rsidRPr="006C0A87">
              <w:rPr>
                <w:rFonts w:ascii="Verdana" w:hAnsi="Verdana" w:cs="Verdana"/>
                <w:color w:val="0000FF"/>
                <w:sz w:val="18"/>
                <w:szCs w:val="18"/>
                <w:lang w:eastAsia="nb-NO"/>
              </w:rPr>
              <w:t>Miljø</w:t>
            </w:r>
          </w:p>
        </w:tc>
        <w:tc>
          <w:tcPr>
            <w:tcW w:w="897" w:type="dxa"/>
            <w:tcBorders>
              <w:top w:val="single" w:sz="8" w:space="0" w:color="808080"/>
              <w:left w:val="nil"/>
              <w:bottom w:val="single" w:sz="8" w:space="0" w:color="808080"/>
              <w:right w:val="single" w:sz="4" w:space="0" w:color="000000"/>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Pr>
                <w:rFonts w:ascii="Verdana" w:hAnsi="Verdana" w:cs="Verdana"/>
                <w:color w:val="0000FF"/>
                <w:sz w:val="18"/>
                <w:szCs w:val="18"/>
                <w:lang w:eastAsia="nb-NO"/>
              </w:rPr>
              <w:t xml:space="preserve"> </w:t>
            </w:r>
            <w:r w:rsidRPr="006C0A87">
              <w:rPr>
                <w:rFonts w:ascii="Verdana" w:hAnsi="Verdana" w:cs="Verdana"/>
                <w:color w:val="0000FF"/>
                <w:sz w:val="18"/>
                <w:szCs w:val="18"/>
                <w:lang w:eastAsia="nb-NO"/>
              </w:rPr>
              <w:t xml:space="preserve">93,4 </w:t>
            </w:r>
            <w:r w:rsidRPr="006C0A87">
              <w:rPr>
                <w:rFonts w:ascii="Wingdings" w:hAnsi="Wingdings" w:cs="Wingdings"/>
                <w:color w:val="FF00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93,6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93,1 </w:t>
            </w:r>
            <w:r w:rsidRPr="006C0A87">
              <w:rPr>
                <w:rFonts w:ascii="Wingdings" w:hAnsi="Wingdings" w:cs="Wingdings"/>
                <w:color w:val="00FF00"/>
                <w:sz w:val="18"/>
                <w:szCs w:val="18"/>
                <w:lang w:eastAsia="nb-NO"/>
              </w:rPr>
              <w:t></w:t>
            </w:r>
          </w:p>
        </w:tc>
        <w:tc>
          <w:tcPr>
            <w:tcW w:w="897" w:type="dxa"/>
            <w:tcBorders>
              <w:top w:val="nil"/>
              <w:left w:val="nil"/>
              <w:bottom w:val="single" w:sz="4" w:space="0" w:color="auto"/>
              <w:right w:val="single" w:sz="4" w:space="0" w:color="auto"/>
            </w:tcBorders>
            <w:shd w:val="clear" w:color="000000" w:fill="FFFF99"/>
            <w:noWrap/>
            <w:vAlign w:val="bottom"/>
          </w:tcPr>
          <w:p w:rsidR="001C02F5" w:rsidRPr="006C0A87" w:rsidRDefault="001C02F5" w:rsidP="00475CFF">
            <w:pPr>
              <w:jc w:val="center"/>
              <w:rPr>
                <w:rFonts w:ascii="Verdana" w:hAnsi="Verdana" w:cs="Verdana"/>
                <w:color w:val="3333CC"/>
                <w:sz w:val="18"/>
                <w:szCs w:val="18"/>
                <w:lang w:eastAsia="nb-NO"/>
              </w:rPr>
            </w:pPr>
            <w:r w:rsidRPr="006C0A87">
              <w:rPr>
                <w:rFonts w:ascii="Verdana" w:hAnsi="Verdana" w:cs="Verdana"/>
                <w:color w:val="3333CC"/>
                <w:sz w:val="18"/>
                <w:szCs w:val="18"/>
                <w:lang w:eastAsia="nb-NO"/>
              </w:rPr>
              <w:t xml:space="preserve">92,8 </w:t>
            </w:r>
            <w:r w:rsidRPr="006C0A87">
              <w:rPr>
                <w:rFonts w:ascii="Wingdings" w:hAnsi="Wingdings" w:cs="Wingdings"/>
                <w:color w:val="00FF00"/>
                <w:sz w:val="18"/>
                <w:szCs w:val="18"/>
                <w:lang w:eastAsia="nb-NO"/>
              </w:rPr>
              <w:t></w:t>
            </w:r>
          </w:p>
        </w:tc>
        <w:tc>
          <w:tcPr>
            <w:tcW w:w="918" w:type="dxa"/>
            <w:tcBorders>
              <w:top w:val="nil"/>
              <w:left w:val="nil"/>
              <w:bottom w:val="single" w:sz="8" w:space="0" w:color="969696"/>
              <w:right w:val="nil"/>
            </w:tcBorders>
            <w:shd w:val="clear" w:color="000000" w:fill="FFFF99"/>
            <w:noWrap/>
            <w:vAlign w:val="bottom"/>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 xml:space="preserve">92,6 </w:t>
            </w:r>
            <w:r w:rsidRPr="006C0A87">
              <w:rPr>
                <w:rFonts w:ascii="Wingdings" w:hAnsi="Wingdings" w:cs="Wingdings"/>
                <w:color w:val="00FF00"/>
                <w:sz w:val="18"/>
                <w:szCs w:val="18"/>
                <w:lang w:eastAsia="nb-NO"/>
              </w:rPr>
              <w:t></w:t>
            </w:r>
          </w:p>
        </w:tc>
        <w:tc>
          <w:tcPr>
            <w:tcW w:w="1196" w:type="dxa"/>
            <w:tcBorders>
              <w:top w:val="nil"/>
              <w:left w:val="single" w:sz="8" w:space="0" w:color="808080"/>
              <w:bottom w:val="single" w:sz="8" w:space="0" w:color="969696"/>
              <w:right w:val="single" w:sz="8" w:space="0" w:color="808080"/>
            </w:tcBorders>
            <w:shd w:val="clear" w:color="000000" w:fill="FFFF99"/>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92,1</w:t>
            </w:r>
            <w:r w:rsidRPr="006C0A87">
              <w:rPr>
                <w:rFonts w:ascii="Verdana" w:hAnsi="Verdana" w:cs="Verdana"/>
                <w:color w:val="00FF00"/>
                <w:sz w:val="18"/>
                <w:szCs w:val="18"/>
                <w:lang w:eastAsia="nb-NO"/>
              </w:rPr>
              <w:t xml:space="preserve"> </w:t>
            </w:r>
            <w:r w:rsidRPr="006C0A87">
              <w:rPr>
                <w:rFonts w:ascii="Wingdings" w:hAnsi="Wingdings" w:cs="Wingdings"/>
                <w:color w:val="00FF00"/>
                <w:sz w:val="18"/>
                <w:szCs w:val="18"/>
                <w:lang w:eastAsia="nb-NO"/>
              </w:rPr>
              <w:t></w:t>
            </w:r>
          </w:p>
        </w:tc>
        <w:tc>
          <w:tcPr>
            <w:tcW w:w="903" w:type="dxa"/>
            <w:tcBorders>
              <w:top w:val="nil"/>
              <w:left w:val="nil"/>
              <w:bottom w:val="single" w:sz="8" w:space="0" w:color="969696"/>
              <w:right w:val="single" w:sz="8" w:space="0" w:color="808080"/>
            </w:tcBorders>
            <w:shd w:val="clear" w:color="000000" w:fill="FFFF99"/>
            <w:noWrap/>
          </w:tcPr>
          <w:p w:rsidR="001C02F5" w:rsidRPr="006C0A87" w:rsidRDefault="001C02F5" w:rsidP="00475CFF">
            <w:pPr>
              <w:jc w:val="center"/>
              <w:rPr>
                <w:rFonts w:ascii="Verdana" w:hAnsi="Verdana" w:cs="Verdana"/>
                <w:color w:val="0000FF"/>
                <w:sz w:val="18"/>
                <w:szCs w:val="18"/>
                <w:lang w:eastAsia="nb-NO"/>
              </w:rPr>
            </w:pPr>
            <w:r w:rsidRPr="006C0A87">
              <w:rPr>
                <w:rFonts w:ascii="Verdana" w:hAnsi="Verdana" w:cs="Verdana"/>
                <w:color w:val="0000FF"/>
                <w:sz w:val="18"/>
                <w:szCs w:val="18"/>
                <w:lang w:eastAsia="nb-NO"/>
              </w:rPr>
              <w:t>91,6 –</w:t>
            </w:r>
          </w:p>
        </w:tc>
      </w:tr>
    </w:tbl>
    <w:p w:rsidR="001C02F5" w:rsidRDefault="001C02F5" w:rsidP="006A2D72"/>
    <w:p w:rsidR="001C02F5" w:rsidRPr="006C0A87" w:rsidRDefault="001C02F5" w:rsidP="006A2D72"/>
    <w:p w:rsidR="001C02F5" w:rsidRDefault="001C02F5" w:rsidP="006A2D72">
      <w:r>
        <w:t xml:space="preserve">Relativt lav godkjenningsandel finner vi også for hjul/hjuloppheng med 74,3 %, en nedgang på 0,1 prosentpoeng i forhold til 2011. Lys/refleks/el. utstyr hadde en nedgang på 0,1 prosentpoeng, og en godkjenningsandel på 84,0 %. De resterende kontrollpunktene har alle en godkjenningsandel på over 90 %. </w:t>
      </w:r>
    </w:p>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Pr>
        <w:pStyle w:val="Heading2"/>
      </w:pPr>
      <w:r w:rsidRPr="00FE0D5A">
        <w:t>4.3</w:t>
      </w:r>
      <w:r w:rsidRPr="00FE0D5A">
        <w:tab/>
        <w:t>Mellomtunge kjøretøy</w:t>
      </w:r>
    </w:p>
    <w:p w:rsidR="001C02F5" w:rsidRPr="007C50D1" w:rsidRDefault="001C02F5" w:rsidP="006A2D72">
      <w:pPr>
        <w:pStyle w:val="Dokumenttekst"/>
      </w:pPr>
      <w:r>
        <w:t>En del kjøretøyeiere velger å utbedre feil før kontrollen. Godkjenningsandelene ved periodisk kjøretøykontroll gjenspeiler derfor ikke nødvendigvis den nøyaktige tilstanden på kjøretøyparken, men utviklingen over tid vil uansett kunne leses ut av resultatene.</w:t>
      </w:r>
    </w:p>
    <w:p w:rsidR="001C02F5" w:rsidRPr="00FE0D5A" w:rsidRDefault="001C02F5" w:rsidP="006A2D72">
      <w:r w:rsidRPr="00FE0D5A">
        <w:t>Det ble i 201</w:t>
      </w:r>
      <w:r>
        <w:t>2</w:t>
      </w:r>
      <w:r w:rsidRPr="00FE0D5A">
        <w:t xml:space="preserve"> foretatt 3</w:t>
      </w:r>
      <w:r>
        <w:t>5 261</w:t>
      </w:r>
      <w:r w:rsidRPr="00FE0D5A">
        <w:t xml:space="preserve"> periodiske kontroller av mellomtunge kjøretøy (&gt; 3 500 kg og </w:t>
      </w:r>
    </w:p>
    <w:p w:rsidR="001C02F5" w:rsidRPr="00FE0D5A" w:rsidRDefault="001C02F5" w:rsidP="006A2D72">
      <w:r w:rsidRPr="00FE0D5A">
        <w:t>≤ 7 500 kg). 4</w:t>
      </w:r>
      <w:r>
        <w:t>3,9</w:t>
      </w:r>
      <w:r w:rsidRPr="00FE0D5A">
        <w:t xml:space="preserve"> % av kjøretøyene i denne gruppen ble </w:t>
      </w:r>
      <w:r>
        <w:t xml:space="preserve">i 2012 </w:t>
      </w:r>
      <w:r w:rsidRPr="00FE0D5A">
        <w:t xml:space="preserve">godkjent ved førstegangs kontroll mot </w:t>
      </w:r>
      <w:r>
        <w:t xml:space="preserve">44,7 % i 2011 og </w:t>
      </w:r>
      <w:r w:rsidRPr="00FE0D5A">
        <w:t>45,6 % i 2010</w:t>
      </w:r>
      <w:r>
        <w:t>.</w:t>
      </w:r>
    </w:p>
    <w:p w:rsidR="001C02F5" w:rsidRPr="00666772" w:rsidRDefault="001C02F5" w:rsidP="006A2D72">
      <w:pPr>
        <w:rPr>
          <w:color w:val="FF0000"/>
        </w:rPr>
      </w:pPr>
    </w:p>
    <w:p w:rsidR="001C02F5" w:rsidRDefault="001C02F5" w:rsidP="006A2D72">
      <w:fldSimple w:instr=" REF _Ref126570914 \h  \* MERGEFORMAT ">
        <w:r w:rsidRPr="00772EFE">
          <w:t xml:space="preserve">Tabell </w:t>
        </w:r>
        <w:r>
          <w:t>5</w:t>
        </w:r>
      </w:fldSimple>
      <w:r>
        <w:t xml:space="preserve"> viser godkjenningsandelen til de ulike kjøretøygruppene i kategorien mellomtunge kjøretøy. Den største endringen i forhold til 2011 var i kjøretøygruppen påhengsvogn/slepevogn/semitrailer hvor det er notert en nedgang i godkjenningsandel på 11,2 prosentpoeng, imidlertid er det forholdsvis få kjøretøy som er registrert i denne gruppen slik at endringer i antall godkjente slår sterkt ut når prosentandelen utregnes. Kjøretøygruppen personbil hadde en nedgang i godkjenningsandel på 1,0 prosentpoeng i 2012 i forhold til året før. Lastebil/trekkbil hadde en nedgang i godkjenningsandel på 0,8 prosentpoeng.</w:t>
      </w:r>
    </w:p>
    <w:p w:rsidR="001C02F5" w:rsidRDefault="001C02F5" w:rsidP="006A2D72">
      <w:r>
        <w:t>Kombinertbil hadde en nedgang på 1,5 prosentpoeng, mens buss hadde en nedgang på 0,9 prosentpoeng i forhold til året før. For kjøretøygruppene varebil og motorredskap er det så få kjøretøy at det gir liten mening å registrere prosentvis endring fra år til år.</w:t>
      </w:r>
    </w:p>
    <w:p w:rsidR="001C02F5" w:rsidRDefault="001C02F5" w:rsidP="006A2D72"/>
    <w:p w:rsidR="001C02F5" w:rsidRDefault="001C02F5" w:rsidP="006A2D72">
      <w:pPr>
        <w:pStyle w:val="Caption"/>
        <w:keepNext/>
      </w:pPr>
      <w:bookmarkStart w:id="17" w:name="_Ref126570914"/>
      <w:r w:rsidRPr="00772EFE">
        <w:t xml:space="preserve">Tabell </w:t>
      </w:r>
      <w:fldSimple w:instr=" SEQ Tabell \* ARABIC ">
        <w:r>
          <w:rPr>
            <w:noProof/>
          </w:rPr>
          <w:t>5</w:t>
        </w:r>
      </w:fldSimple>
      <w:bookmarkEnd w:id="17"/>
      <w:r w:rsidRPr="00772EFE">
        <w:t xml:space="preserve"> Antall kontroller og godkjenningsandel for mellomtunge kjøretøy (</w:t>
      </w:r>
      <w:r>
        <w:t>over</w:t>
      </w:r>
      <w:r w:rsidRPr="00772EFE">
        <w:t xml:space="preserve"> 3500 kg og </w:t>
      </w:r>
      <w:r>
        <w:t>inn</w:t>
      </w:r>
      <w:r w:rsidRPr="00772EFE">
        <w:t>til 7500 kg)</w:t>
      </w:r>
      <w:r>
        <w:t>,</w:t>
      </w:r>
      <w:r w:rsidRPr="00772EFE">
        <w:t xml:space="preserve"> fordelt på kjøretøygruppe</w:t>
      </w:r>
      <w:r>
        <w:t>.</w:t>
      </w:r>
    </w:p>
    <w:tbl>
      <w:tblPr>
        <w:tblW w:w="8732" w:type="dxa"/>
        <w:tblInd w:w="55" w:type="dxa"/>
        <w:tblCellMar>
          <w:left w:w="70" w:type="dxa"/>
          <w:right w:w="70" w:type="dxa"/>
        </w:tblCellMar>
        <w:tblLook w:val="00A0"/>
      </w:tblPr>
      <w:tblGrid>
        <w:gridCol w:w="4271"/>
        <w:gridCol w:w="1922"/>
        <w:gridCol w:w="2539"/>
      </w:tblGrid>
      <w:tr w:rsidR="001C02F5" w:rsidRPr="00B24CA4">
        <w:trPr>
          <w:trHeight w:val="270"/>
        </w:trPr>
        <w:tc>
          <w:tcPr>
            <w:tcW w:w="4271" w:type="dxa"/>
            <w:tcBorders>
              <w:top w:val="single" w:sz="8" w:space="0" w:color="808080"/>
              <w:left w:val="single" w:sz="8" w:space="0" w:color="808080"/>
              <w:bottom w:val="single" w:sz="8" w:space="0" w:color="808080"/>
              <w:right w:val="single" w:sz="8" w:space="0" w:color="808080"/>
            </w:tcBorders>
            <w:shd w:val="clear" w:color="000000" w:fill="800000"/>
          </w:tcPr>
          <w:p w:rsidR="001C02F5" w:rsidRPr="00B24CA4" w:rsidRDefault="001C02F5" w:rsidP="00475CFF">
            <w:pPr>
              <w:jc w:val="center"/>
              <w:rPr>
                <w:rFonts w:ascii="Verdana" w:hAnsi="Verdana" w:cs="Verdana"/>
                <w:b/>
                <w:bCs/>
                <w:color w:val="FFFFFF"/>
                <w:sz w:val="18"/>
                <w:szCs w:val="18"/>
                <w:lang w:eastAsia="nb-NO"/>
              </w:rPr>
            </w:pPr>
            <w:r w:rsidRPr="00B24CA4">
              <w:rPr>
                <w:rFonts w:ascii="Verdana" w:hAnsi="Verdana" w:cs="Verdana"/>
                <w:b/>
                <w:bCs/>
                <w:color w:val="FFFFFF"/>
                <w:sz w:val="18"/>
                <w:szCs w:val="18"/>
                <w:lang w:eastAsia="nb-NO"/>
              </w:rPr>
              <w:t>Kjøretøygruppe</w:t>
            </w:r>
          </w:p>
        </w:tc>
        <w:tc>
          <w:tcPr>
            <w:tcW w:w="1922" w:type="dxa"/>
            <w:tcBorders>
              <w:top w:val="single" w:sz="8" w:space="0" w:color="808080"/>
              <w:left w:val="nil"/>
              <w:bottom w:val="single" w:sz="8" w:space="0" w:color="808080"/>
              <w:right w:val="single" w:sz="8" w:space="0" w:color="808080"/>
            </w:tcBorders>
            <w:shd w:val="clear" w:color="000000" w:fill="800000"/>
          </w:tcPr>
          <w:p w:rsidR="001C02F5" w:rsidRPr="00B24CA4" w:rsidRDefault="001C02F5" w:rsidP="00475CFF">
            <w:pPr>
              <w:jc w:val="center"/>
              <w:rPr>
                <w:rFonts w:ascii="Verdana" w:hAnsi="Verdana" w:cs="Verdana"/>
                <w:b/>
                <w:bCs/>
                <w:color w:val="FFFFFF"/>
                <w:sz w:val="18"/>
                <w:szCs w:val="18"/>
                <w:lang w:eastAsia="nb-NO"/>
              </w:rPr>
            </w:pPr>
            <w:r w:rsidRPr="00B24CA4">
              <w:rPr>
                <w:rFonts w:ascii="Verdana" w:hAnsi="Verdana" w:cs="Verdana"/>
                <w:b/>
                <w:bCs/>
                <w:color w:val="FFFFFF"/>
                <w:sz w:val="18"/>
                <w:szCs w:val="18"/>
                <w:lang w:eastAsia="nb-NO"/>
              </w:rPr>
              <w:t>Antall kjøretøy</w:t>
            </w:r>
          </w:p>
        </w:tc>
        <w:tc>
          <w:tcPr>
            <w:tcW w:w="2539" w:type="dxa"/>
            <w:tcBorders>
              <w:top w:val="single" w:sz="8" w:space="0" w:color="808080"/>
              <w:left w:val="nil"/>
              <w:bottom w:val="single" w:sz="8" w:space="0" w:color="808080"/>
              <w:right w:val="single" w:sz="8" w:space="0" w:color="808080"/>
            </w:tcBorders>
            <w:shd w:val="clear" w:color="000000" w:fill="800000"/>
          </w:tcPr>
          <w:p w:rsidR="001C02F5" w:rsidRPr="00B24CA4" w:rsidRDefault="001C02F5" w:rsidP="00475CFF">
            <w:pPr>
              <w:jc w:val="center"/>
              <w:rPr>
                <w:rFonts w:ascii="Verdana" w:hAnsi="Verdana" w:cs="Verdana"/>
                <w:b/>
                <w:bCs/>
                <w:color w:val="FFFFFF"/>
                <w:sz w:val="18"/>
                <w:szCs w:val="18"/>
                <w:lang w:eastAsia="nb-NO"/>
              </w:rPr>
            </w:pPr>
            <w:r w:rsidRPr="00B24CA4">
              <w:rPr>
                <w:rFonts w:ascii="Verdana" w:hAnsi="Verdana" w:cs="Verdana"/>
                <w:b/>
                <w:bCs/>
                <w:color w:val="FFFFFF"/>
                <w:sz w:val="18"/>
                <w:szCs w:val="18"/>
                <w:lang w:eastAsia="nb-NO"/>
              </w:rPr>
              <w:t>Godkjenningsandel</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Personbil</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2948</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44,1 %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Buss</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4 360</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39,9 %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Kombinertbil</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5 351</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42,3 %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Varebil</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23</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69,6 %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Lastebil/trekkbil</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22 362</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44,9 %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Påhengsvogn/slepvogn/semitrailer</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148</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48,0 %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Motorredskap</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69</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49,3 %</w:t>
            </w:r>
          </w:p>
        </w:tc>
      </w:tr>
      <w:tr w:rsidR="001C02F5" w:rsidRPr="00B24CA4">
        <w:trPr>
          <w:trHeight w:val="270"/>
        </w:trPr>
        <w:tc>
          <w:tcPr>
            <w:tcW w:w="4271" w:type="dxa"/>
            <w:tcBorders>
              <w:top w:val="nil"/>
              <w:left w:val="single" w:sz="8" w:space="0" w:color="808080"/>
              <w:bottom w:val="single" w:sz="8" w:space="0" w:color="808080"/>
              <w:right w:val="single" w:sz="8" w:space="0" w:color="808080"/>
            </w:tcBorders>
            <w:shd w:val="clear" w:color="000000" w:fill="FFFF99"/>
          </w:tcPr>
          <w:p w:rsidR="001C02F5" w:rsidRPr="00B24CA4" w:rsidRDefault="001C02F5" w:rsidP="00475CFF">
            <w:pPr>
              <w:rPr>
                <w:rFonts w:ascii="Verdana" w:hAnsi="Verdana" w:cs="Verdana"/>
                <w:color w:val="0000FF"/>
                <w:sz w:val="18"/>
                <w:szCs w:val="18"/>
                <w:lang w:eastAsia="nb-NO"/>
              </w:rPr>
            </w:pPr>
            <w:r w:rsidRPr="00B24CA4">
              <w:rPr>
                <w:rFonts w:ascii="Verdana" w:hAnsi="Verdana" w:cs="Verdana"/>
                <w:color w:val="0000FF"/>
                <w:sz w:val="18"/>
                <w:szCs w:val="18"/>
                <w:lang w:eastAsia="nb-NO"/>
              </w:rPr>
              <w:t>Totalt</w:t>
            </w:r>
          </w:p>
        </w:tc>
        <w:tc>
          <w:tcPr>
            <w:tcW w:w="1922"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35261</w:t>
            </w:r>
          </w:p>
        </w:tc>
        <w:tc>
          <w:tcPr>
            <w:tcW w:w="2539" w:type="dxa"/>
            <w:tcBorders>
              <w:top w:val="nil"/>
              <w:left w:val="nil"/>
              <w:bottom w:val="single" w:sz="8" w:space="0" w:color="808080"/>
              <w:right w:val="single" w:sz="8" w:space="0" w:color="808080"/>
            </w:tcBorders>
            <w:shd w:val="clear" w:color="000000" w:fill="FFFF99"/>
          </w:tcPr>
          <w:p w:rsidR="001C02F5" w:rsidRPr="00B24CA4" w:rsidRDefault="001C02F5" w:rsidP="00475CFF">
            <w:pPr>
              <w:jc w:val="right"/>
              <w:rPr>
                <w:rFonts w:ascii="Verdana" w:hAnsi="Verdana" w:cs="Verdana"/>
                <w:color w:val="0000FF"/>
                <w:sz w:val="18"/>
                <w:szCs w:val="18"/>
                <w:lang w:eastAsia="nb-NO"/>
              </w:rPr>
            </w:pPr>
            <w:r w:rsidRPr="00B24CA4">
              <w:rPr>
                <w:rFonts w:ascii="Verdana" w:hAnsi="Verdana" w:cs="Verdana"/>
                <w:color w:val="0000FF"/>
                <w:sz w:val="18"/>
                <w:szCs w:val="18"/>
                <w:lang w:eastAsia="nb-NO"/>
              </w:rPr>
              <w:t>43,9 %</w:t>
            </w:r>
          </w:p>
        </w:tc>
      </w:tr>
    </w:tbl>
    <w:p w:rsidR="001C02F5" w:rsidRDefault="001C02F5" w:rsidP="006A2D72"/>
    <w:p w:rsidR="001C02F5" w:rsidRDefault="001C02F5" w:rsidP="006A2D72"/>
    <w:p w:rsidR="001C02F5" w:rsidRDefault="001C02F5" w:rsidP="006A2D72">
      <w:r>
        <w:t xml:space="preserve">For de mellomtunge kjøretøyene har seks av hovedgruppene av kontrollpunkter hatt en nedgang i sine godkjenningsandeler, mens to av hovedgruppene har hatt en fremgang i forhold til 2011. Dette er illustrert med piler i Tabell 6. Som for lette kjøretøy er det kontrollpunktet bremser som har lavest godkjenningsandel også for mellomtunge kjøretøy; her med 63,8 %. Det er en nedgang på 1,2 prosentpoeng i forhold til 2011, godkjenningsandelen på dette punktet har vært nedadgående siden oppdelingen av tunge/mellomtunge kjøretøy i 2002. </w:t>
      </w:r>
    </w:p>
    <w:p w:rsidR="001C02F5" w:rsidRDefault="001C02F5" w:rsidP="006A2D72"/>
    <w:p w:rsidR="001C02F5" w:rsidRDefault="001C02F5" w:rsidP="006A2D72">
      <w:r>
        <w:t>For øvrig er det registrert kun mindre endringer i forhold til fjoråret for mellomtunge kjøretøy. Hovedgruppene styring og miljø hadde begge en nedgang på 0,5 prosentpoeng, lys/refleks/el.utstyr en nedgang på 0,3 prosentpoeng, mens hovedgruppene hjul/hjuloppheng og annet utstyr begge hadde en nedgang på 0,1 prosentpoeng.</w:t>
      </w:r>
    </w:p>
    <w:p w:rsidR="001C02F5" w:rsidRDefault="001C02F5" w:rsidP="006A2D72">
      <w:r>
        <w:t>Hovedgruppen sikt hadde en fremgang på 0,3 prosentpoeng, og hovedgruppen karosseri/påbygg en fremgang på 0,2 prosentpoeng.</w:t>
      </w:r>
    </w:p>
    <w:p w:rsidR="001C02F5" w:rsidRDefault="001C02F5" w:rsidP="006A2D72"/>
    <w:p w:rsidR="001C02F5" w:rsidRDefault="001C02F5" w:rsidP="006A2D72"/>
    <w:p w:rsidR="001C02F5" w:rsidRDefault="001C02F5" w:rsidP="006A2D72">
      <w:r>
        <w:t xml:space="preserve">Resultatene og trendene er vist i tabell 6. </w:t>
      </w:r>
    </w:p>
    <w:p w:rsidR="001C02F5" w:rsidRDefault="001C02F5" w:rsidP="006A2D72">
      <w:pPr>
        <w:pStyle w:val="Caption"/>
        <w:keepNext/>
        <w:rPr>
          <w:rFonts w:ascii="Verdana" w:hAnsi="Verdana" w:cs="Verdana"/>
          <w:sz w:val="16"/>
          <w:szCs w:val="16"/>
        </w:rPr>
      </w:pPr>
      <w:bookmarkStart w:id="18" w:name="_Ref126571178"/>
    </w:p>
    <w:p w:rsidR="001C02F5" w:rsidRDefault="001C02F5" w:rsidP="006A2D72">
      <w:pPr>
        <w:pStyle w:val="Caption"/>
        <w:keepNext/>
        <w:rPr>
          <w:rFonts w:ascii="Verdana" w:hAnsi="Verdana" w:cs="Verdana"/>
          <w:sz w:val="16"/>
          <w:szCs w:val="16"/>
        </w:rPr>
      </w:pPr>
      <w:r>
        <w:rPr>
          <w:rFonts w:ascii="Verdana" w:hAnsi="Verdana" w:cs="Verdana"/>
          <w:sz w:val="16"/>
          <w:szCs w:val="16"/>
        </w:rPr>
        <w:t>T</w:t>
      </w:r>
      <w:r w:rsidRPr="00221E13">
        <w:rPr>
          <w:rFonts w:ascii="Verdana" w:hAnsi="Verdana" w:cs="Verdana"/>
          <w:sz w:val="16"/>
          <w:szCs w:val="16"/>
        </w:rPr>
        <w:t xml:space="preserve">abell </w:t>
      </w:r>
      <w:r w:rsidRPr="00221E13">
        <w:rPr>
          <w:rFonts w:ascii="Verdana" w:hAnsi="Verdana" w:cs="Verdana"/>
          <w:sz w:val="16"/>
          <w:szCs w:val="16"/>
        </w:rPr>
        <w:fldChar w:fldCharType="begin"/>
      </w:r>
      <w:r w:rsidRPr="00221E13">
        <w:rPr>
          <w:rFonts w:ascii="Verdana" w:hAnsi="Verdana" w:cs="Verdana"/>
          <w:sz w:val="16"/>
          <w:szCs w:val="16"/>
        </w:rPr>
        <w:instrText xml:space="preserve"> SEQ Tabell \* ARABIC </w:instrText>
      </w:r>
      <w:r w:rsidRPr="00221E13">
        <w:rPr>
          <w:rFonts w:ascii="Verdana" w:hAnsi="Verdana" w:cs="Verdana"/>
          <w:sz w:val="16"/>
          <w:szCs w:val="16"/>
        </w:rPr>
        <w:fldChar w:fldCharType="separate"/>
      </w:r>
      <w:r>
        <w:rPr>
          <w:rFonts w:ascii="Verdana" w:hAnsi="Verdana" w:cs="Verdana"/>
          <w:noProof/>
          <w:sz w:val="16"/>
          <w:szCs w:val="16"/>
        </w:rPr>
        <w:t>6</w:t>
      </w:r>
      <w:r w:rsidRPr="00221E13">
        <w:rPr>
          <w:rFonts w:ascii="Verdana" w:hAnsi="Verdana" w:cs="Verdana"/>
          <w:sz w:val="16"/>
          <w:szCs w:val="16"/>
        </w:rPr>
        <w:fldChar w:fldCharType="end"/>
      </w:r>
      <w:bookmarkEnd w:id="18"/>
      <w:r w:rsidRPr="00221E13">
        <w:rPr>
          <w:rFonts w:ascii="Verdana" w:hAnsi="Verdana" w:cs="Verdana"/>
          <w:sz w:val="16"/>
          <w:szCs w:val="16"/>
        </w:rPr>
        <w:t xml:space="preserve"> Godkjenningsandeler for de enkelte hovedgruppene - mellomtunge kjøretøy med tillatt totalvekt 3 501 – 7 500 kg. </w:t>
      </w:r>
    </w:p>
    <w:p w:rsidR="001C02F5" w:rsidRDefault="001C02F5" w:rsidP="006A2D72"/>
    <w:tbl>
      <w:tblPr>
        <w:tblpPr w:leftFromText="141" w:rightFromText="141" w:vertAnchor="text" w:horzAnchor="margin" w:tblpY="26"/>
        <w:tblW w:w="8926" w:type="dxa"/>
        <w:tblLayout w:type="fixed"/>
        <w:tblCellMar>
          <w:left w:w="70" w:type="dxa"/>
          <w:right w:w="70" w:type="dxa"/>
        </w:tblCellMar>
        <w:tblLook w:val="00A0"/>
      </w:tblPr>
      <w:tblGrid>
        <w:gridCol w:w="2396"/>
        <w:gridCol w:w="865"/>
        <w:gridCol w:w="901"/>
        <w:gridCol w:w="831"/>
        <w:gridCol w:w="929"/>
        <w:gridCol w:w="1017"/>
        <w:gridCol w:w="916"/>
        <w:gridCol w:w="1071"/>
      </w:tblGrid>
      <w:tr w:rsidR="001C02F5" w:rsidRPr="00903059">
        <w:trPr>
          <w:trHeight w:val="56"/>
        </w:trPr>
        <w:tc>
          <w:tcPr>
            <w:tcW w:w="2396" w:type="dxa"/>
            <w:tcBorders>
              <w:top w:val="single" w:sz="8" w:space="0" w:color="808080"/>
              <w:left w:val="single" w:sz="8" w:space="0" w:color="808080"/>
              <w:bottom w:val="nil"/>
              <w:right w:val="single" w:sz="8" w:space="0" w:color="808080"/>
            </w:tcBorders>
            <w:shd w:val="clear" w:color="000000" w:fill="800000"/>
          </w:tcPr>
          <w:p w:rsidR="001C02F5" w:rsidRPr="00903059" w:rsidRDefault="001C02F5" w:rsidP="00475CFF">
            <w:pP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 </w:t>
            </w:r>
          </w:p>
        </w:tc>
        <w:tc>
          <w:tcPr>
            <w:tcW w:w="6530" w:type="dxa"/>
            <w:gridSpan w:val="7"/>
            <w:tcBorders>
              <w:top w:val="nil"/>
              <w:left w:val="nil"/>
              <w:bottom w:val="nil"/>
              <w:right w:val="nil"/>
            </w:tcBorders>
            <w:shd w:val="clear" w:color="000000" w:fill="800000"/>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Godkjenningsandeler (%)</w:t>
            </w:r>
          </w:p>
        </w:tc>
      </w:tr>
      <w:tr w:rsidR="001C02F5" w:rsidRPr="00903059">
        <w:trPr>
          <w:trHeight w:val="56"/>
        </w:trPr>
        <w:tc>
          <w:tcPr>
            <w:tcW w:w="2396" w:type="dxa"/>
            <w:tcBorders>
              <w:top w:val="nil"/>
              <w:left w:val="single" w:sz="8" w:space="0" w:color="808080"/>
              <w:bottom w:val="single" w:sz="8" w:space="0" w:color="808080"/>
              <w:right w:val="nil"/>
            </w:tcBorders>
            <w:shd w:val="clear" w:color="000000" w:fill="800000"/>
          </w:tcPr>
          <w:p w:rsidR="001C02F5" w:rsidRPr="00903059" w:rsidRDefault="001C02F5" w:rsidP="00475CFF">
            <w:pP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Hovedgruppe</w:t>
            </w:r>
          </w:p>
        </w:tc>
        <w:tc>
          <w:tcPr>
            <w:tcW w:w="865" w:type="dxa"/>
            <w:tcBorders>
              <w:top w:val="single" w:sz="4" w:space="0" w:color="auto"/>
              <w:left w:val="single" w:sz="4" w:space="0" w:color="auto"/>
              <w:bottom w:val="single" w:sz="4" w:space="0" w:color="auto"/>
              <w:right w:val="single" w:sz="4" w:space="0" w:color="auto"/>
            </w:tcBorders>
            <w:shd w:val="clear" w:color="000000" w:fill="800000"/>
            <w:noWrap/>
            <w:vAlign w:val="bottom"/>
          </w:tcPr>
          <w:p w:rsidR="001C02F5" w:rsidRPr="00903059" w:rsidRDefault="001C02F5" w:rsidP="00475CFF">
            <w:pPr>
              <w:jc w:val="center"/>
              <w:rPr>
                <w:rFonts w:ascii="Verdana" w:hAnsi="Verdana" w:cs="Verdana"/>
                <w:b/>
                <w:bCs/>
                <w:color w:val="FFFFFF"/>
                <w:sz w:val="20"/>
                <w:szCs w:val="20"/>
                <w:lang w:eastAsia="nb-NO"/>
              </w:rPr>
            </w:pPr>
            <w:r w:rsidRPr="00903059">
              <w:rPr>
                <w:rFonts w:ascii="Verdana" w:hAnsi="Verdana" w:cs="Verdana"/>
                <w:b/>
                <w:bCs/>
                <w:color w:val="FFFFFF"/>
                <w:sz w:val="20"/>
                <w:szCs w:val="20"/>
                <w:lang w:eastAsia="nb-NO"/>
              </w:rPr>
              <w:t>2012</w:t>
            </w:r>
          </w:p>
        </w:tc>
        <w:tc>
          <w:tcPr>
            <w:tcW w:w="901" w:type="dxa"/>
            <w:tcBorders>
              <w:top w:val="single" w:sz="4" w:space="0" w:color="auto"/>
              <w:left w:val="nil"/>
              <w:bottom w:val="single" w:sz="4" w:space="0" w:color="auto"/>
              <w:right w:val="single" w:sz="4" w:space="0" w:color="auto"/>
            </w:tcBorders>
            <w:shd w:val="clear" w:color="000000" w:fill="800000"/>
            <w:noWrap/>
            <w:vAlign w:val="bottom"/>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2011</w:t>
            </w:r>
          </w:p>
        </w:tc>
        <w:tc>
          <w:tcPr>
            <w:tcW w:w="831" w:type="dxa"/>
            <w:tcBorders>
              <w:top w:val="single" w:sz="4" w:space="0" w:color="auto"/>
              <w:left w:val="nil"/>
              <w:bottom w:val="single" w:sz="4" w:space="0" w:color="auto"/>
              <w:right w:val="single" w:sz="4" w:space="0" w:color="auto"/>
            </w:tcBorders>
            <w:shd w:val="clear" w:color="000000" w:fill="800000"/>
            <w:noWrap/>
            <w:vAlign w:val="bottom"/>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2010</w:t>
            </w:r>
          </w:p>
        </w:tc>
        <w:tc>
          <w:tcPr>
            <w:tcW w:w="929" w:type="dxa"/>
            <w:tcBorders>
              <w:top w:val="single" w:sz="4" w:space="0" w:color="auto"/>
              <w:left w:val="nil"/>
              <w:bottom w:val="single" w:sz="4" w:space="0" w:color="auto"/>
              <w:right w:val="single" w:sz="4" w:space="0" w:color="auto"/>
            </w:tcBorders>
            <w:shd w:val="clear" w:color="000000" w:fill="800000"/>
            <w:noWrap/>
            <w:vAlign w:val="bottom"/>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2009</w:t>
            </w:r>
          </w:p>
        </w:tc>
        <w:tc>
          <w:tcPr>
            <w:tcW w:w="1017" w:type="dxa"/>
            <w:tcBorders>
              <w:top w:val="single" w:sz="4" w:space="0" w:color="auto"/>
              <w:left w:val="nil"/>
              <w:bottom w:val="single" w:sz="4" w:space="0" w:color="auto"/>
              <w:right w:val="single" w:sz="4" w:space="0" w:color="auto"/>
            </w:tcBorders>
            <w:shd w:val="clear" w:color="000000" w:fill="800000"/>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2008</w:t>
            </w:r>
          </w:p>
        </w:tc>
        <w:tc>
          <w:tcPr>
            <w:tcW w:w="916" w:type="dxa"/>
            <w:tcBorders>
              <w:top w:val="single" w:sz="4" w:space="0" w:color="auto"/>
              <w:left w:val="nil"/>
              <w:bottom w:val="single" w:sz="4" w:space="0" w:color="auto"/>
              <w:right w:val="single" w:sz="4" w:space="0" w:color="auto"/>
            </w:tcBorders>
            <w:shd w:val="clear" w:color="000000" w:fill="800000"/>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2007</w:t>
            </w:r>
          </w:p>
        </w:tc>
        <w:tc>
          <w:tcPr>
            <w:tcW w:w="1070" w:type="dxa"/>
            <w:tcBorders>
              <w:top w:val="single" w:sz="4" w:space="0" w:color="auto"/>
              <w:left w:val="nil"/>
              <w:bottom w:val="single" w:sz="4" w:space="0" w:color="auto"/>
              <w:right w:val="single" w:sz="4" w:space="0" w:color="auto"/>
            </w:tcBorders>
            <w:shd w:val="clear" w:color="000000" w:fill="800000"/>
            <w:noWrap/>
          </w:tcPr>
          <w:p w:rsidR="001C02F5" w:rsidRPr="00903059" w:rsidRDefault="001C02F5" w:rsidP="00475CFF">
            <w:pPr>
              <w:jc w:val="center"/>
              <w:rPr>
                <w:rFonts w:ascii="Verdana" w:hAnsi="Verdana" w:cs="Verdana"/>
                <w:b/>
                <w:bCs/>
                <w:color w:val="FFFFFF"/>
                <w:sz w:val="18"/>
                <w:szCs w:val="18"/>
                <w:lang w:eastAsia="nb-NO"/>
              </w:rPr>
            </w:pPr>
            <w:r w:rsidRPr="00903059">
              <w:rPr>
                <w:rFonts w:ascii="Verdana" w:hAnsi="Verdana" w:cs="Verdana"/>
                <w:b/>
                <w:bCs/>
                <w:color w:val="FFFFFF"/>
                <w:sz w:val="18"/>
                <w:szCs w:val="18"/>
                <w:lang w:eastAsia="nb-NO"/>
              </w:rPr>
              <w:t>2006</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Bremser</w:t>
            </w:r>
          </w:p>
        </w:tc>
        <w:tc>
          <w:tcPr>
            <w:tcW w:w="865" w:type="dxa"/>
            <w:tcBorders>
              <w:top w:val="nil"/>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63,8 </w:t>
            </w:r>
            <w:r w:rsidRPr="00903059">
              <w:rPr>
                <w:rFonts w:ascii="Wingdings" w:hAnsi="Wingdings" w:cs="Wingdings"/>
                <w:color w:val="FF00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65,0 </w:t>
            </w:r>
            <w:r w:rsidRPr="00903059">
              <w:rPr>
                <w:rFonts w:ascii="Wingdings" w:hAnsi="Wingdings" w:cs="Wingdings"/>
                <w:color w:val="FF00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66,7 </w:t>
            </w:r>
            <w:r w:rsidRPr="00903059">
              <w:rPr>
                <w:rFonts w:ascii="Wingdings" w:hAnsi="Wingdings" w:cs="Wingdings"/>
                <w:color w:val="FF00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0000FF"/>
                <w:sz w:val="20"/>
                <w:szCs w:val="20"/>
                <w:lang w:eastAsia="nb-NO"/>
              </w:rPr>
            </w:pPr>
            <w:r w:rsidRPr="00903059">
              <w:rPr>
                <w:rFonts w:ascii="Arial" w:hAnsi="Arial" w:cs="Arial"/>
                <w:color w:val="0000FF"/>
                <w:sz w:val="20"/>
                <w:szCs w:val="20"/>
                <w:lang w:eastAsia="nb-NO"/>
              </w:rPr>
              <w:t xml:space="preserve">68,4 </w:t>
            </w:r>
            <w:r w:rsidRPr="00903059">
              <w:rPr>
                <w:rFonts w:ascii="Wingdings" w:hAnsi="Wingdings" w:cs="Wingdings"/>
                <w:color w:val="FF0000"/>
                <w:sz w:val="20"/>
                <w:szCs w:val="20"/>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68,7 </w:t>
            </w:r>
            <w:r w:rsidRPr="00903059">
              <w:rPr>
                <w:rFonts w:ascii="Wingdings" w:hAnsi="Wingdings" w:cs="Wingdings"/>
                <w:color w:val="FF00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69,1 </w:t>
            </w:r>
            <w:r w:rsidRPr="00903059">
              <w:rPr>
                <w:rFonts w:ascii="Wingdings" w:hAnsi="Wingdings" w:cs="Wingdings"/>
                <w:color w:val="FF0000"/>
                <w:sz w:val="18"/>
                <w:szCs w:val="18"/>
                <w:lang w:eastAsia="nb-NO"/>
              </w:rPr>
              <w:t></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70,2 </w:t>
            </w:r>
            <w:r w:rsidRPr="00903059">
              <w:rPr>
                <w:rFonts w:ascii="Wingdings" w:hAnsi="Wingdings" w:cs="Wingdings"/>
                <w:color w:val="FF0000"/>
                <w:sz w:val="18"/>
                <w:szCs w:val="18"/>
                <w:lang w:eastAsia="nb-NO"/>
              </w:rPr>
              <w:t></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Styring</w:t>
            </w:r>
          </w:p>
        </w:tc>
        <w:tc>
          <w:tcPr>
            <w:tcW w:w="865" w:type="dxa"/>
            <w:tcBorders>
              <w:top w:val="single" w:sz="8" w:space="0" w:color="808080"/>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88,7</w:t>
            </w:r>
            <w:r w:rsidRPr="00903059">
              <w:rPr>
                <w:rFonts w:ascii="Verdana" w:hAnsi="Verdana" w:cs="Verdana"/>
                <w:color w:val="FF0000"/>
                <w:sz w:val="18"/>
                <w:szCs w:val="18"/>
                <w:lang w:eastAsia="nb-NO"/>
              </w:rPr>
              <w:t xml:space="preserve"> </w:t>
            </w:r>
            <w:r w:rsidRPr="00903059">
              <w:rPr>
                <w:rFonts w:ascii="Wingdings" w:hAnsi="Wingdings" w:cs="Wingdings"/>
                <w:color w:val="FF00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89,2 </w:t>
            </w:r>
            <w:r w:rsidRPr="00903059">
              <w:rPr>
                <w:rFonts w:ascii="Wingdings" w:hAnsi="Wingdings" w:cs="Wingdings"/>
                <w:color w:val="00FF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88,8 </w:t>
            </w:r>
            <w:r w:rsidRPr="00903059">
              <w:rPr>
                <w:rFonts w:ascii="Wingdings" w:hAnsi="Wingdings" w:cs="Wingdings"/>
                <w:color w:val="FF00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0000FF"/>
                <w:sz w:val="20"/>
                <w:szCs w:val="20"/>
                <w:lang w:eastAsia="nb-NO"/>
              </w:rPr>
            </w:pPr>
            <w:r w:rsidRPr="00903059">
              <w:rPr>
                <w:rFonts w:ascii="Arial" w:hAnsi="Arial" w:cs="Arial"/>
                <w:color w:val="0000FF"/>
                <w:sz w:val="20"/>
                <w:szCs w:val="20"/>
                <w:lang w:eastAsia="nb-NO"/>
              </w:rPr>
              <w:t xml:space="preserve">89,3 </w:t>
            </w:r>
            <w:r w:rsidRPr="00903059">
              <w:rPr>
                <w:rFonts w:ascii="Wingdings" w:hAnsi="Wingdings" w:cs="Wingdings"/>
                <w:color w:val="00FF00"/>
                <w:sz w:val="20"/>
                <w:szCs w:val="20"/>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88,9 </w:t>
            </w:r>
            <w:r w:rsidRPr="00903059">
              <w:rPr>
                <w:rFonts w:ascii="Wingdings" w:hAnsi="Wingdings" w:cs="Wingdings"/>
                <w:color w:val="00FF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88,5 – </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88,5 – </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Sikt</w:t>
            </w:r>
          </w:p>
        </w:tc>
        <w:tc>
          <w:tcPr>
            <w:tcW w:w="865" w:type="dxa"/>
            <w:tcBorders>
              <w:top w:val="single" w:sz="8" w:space="0" w:color="808080"/>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96,5</w:t>
            </w:r>
            <w:r w:rsidRPr="00903059">
              <w:rPr>
                <w:rFonts w:ascii="Verdana" w:hAnsi="Verdana" w:cs="Verdana"/>
                <w:color w:val="FF0000"/>
                <w:sz w:val="18"/>
                <w:szCs w:val="18"/>
                <w:lang w:eastAsia="nb-NO"/>
              </w:rPr>
              <w:t xml:space="preserve"> </w:t>
            </w:r>
            <w:r w:rsidRPr="00903059">
              <w:rPr>
                <w:rFonts w:ascii="Wingdings" w:hAnsi="Wingdings" w:cs="Wingdings"/>
                <w:color w:val="00FF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96,2 </w:t>
            </w:r>
            <w:r w:rsidRPr="00903059">
              <w:rPr>
                <w:rFonts w:ascii="Wingdings" w:hAnsi="Wingdings" w:cs="Wingdings"/>
                <w:color w:val="00FF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95,9 -</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Verdana" w:hAnsi="Verdana" w:cs="Verdana"/>
                <w:color w:val="0000FF"/>
                <w:sz w:val="20"/>
                <w:szCs w:val="20"/>
                <w:lang w:eastAsia="nb-NO"/>
              </w:rPr>
            </w:pPr>
            <w:r w:rsidRPr="00903059">
              <w:rPr>
                <w:rFonts w:ascii="Verdana" w:hAnsi="Verdana" w:cs="Verdana"/>
                <w:color w:val="0000FF"/>
                <w:sz w:val="20"/>
                <w:szCs w:val="20"/>
                <w:lang w:eastAsia="nb-NO"/>
              </w:rPr>
              <w:t xml:space="preserve">95,9 </w:t>
            </w:r>
            <w:r w:rsidRPr="00903059">
              <w:rPr>
                <w:rFonts w:ascii="Wingdings" w:hAnsi="Wingdings" w:cs="Wingdings"/>
                <w:color w:val="FF0000"/>
                <w:sz w:val="20"/>
                <w:szCs w:val="20"/>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96,2 </w:t>
            </w:r>
            <w:r w:rsidRPr="00903059">
              <w:rPr>
                <w:rFonts w:ascii="Wingdings" w:hAnsi="Wingdings" w:cs="Wingdings"/>
                <w:color w:val="00FF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96,1 – </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96,1 </w:t>
            </w:r>
            <w:r w:rsidRPr="00903059">
              <w:rPr>
                <w:rFonts w:ascii="Wingdings" w:hAnsi="Wingdings" w:cs="Wingdings"/>
                <w:color w:val="FF0000"/>
                <w:sz w:val="18"/>
                <w:szCs w:val="18"/>
                <w:lang w:eastAsia="nb-NO"/>
              </w:rPr>
              <w:t></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Lys/refleks/el.utstyr</w:t>
            </w:r>
          </w:p>
        </w:tc>
        <w:tc>
          <w:tcPr>
            <w:tcW w:w="865" w:type="dxa"/>
            <w:tcBorders>
              <w:top w:val="single" w:sz="8" w:space="0" w:color="808080"/>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77,2 </w:t>
            </w:r>
            <w:r w:rsidRPr="00903059">
              <w:rPr>
                <w:rFonts w:ascii="Wingdings" w:hAnsi="Wingdings" w:cs="Wingdings"/>
                <w:color w:val="FF00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77,5 </w:t>
            </w:r>
            <w:r w:rsidRPr="00903059">
              <w:rPr>
                <w:rFonts w:ascii="Wingdings" w:hAnsi="Wingdings" w:cs="Wingdings"/>
                <w:color w:val="FF00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78,0 </w:t>
            </w:r>
            <w:r w:rsidRPr="00903059">
              <w:rPr>
                <w:rFonts w:ascii="Wingdings" w:hAnsi="Wingdings" w:cs="Wingdings"/>
                <w:color w:val="FF00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78,5 </w:t>
            </w:r>
            <w:r w:rsidRPr="00903059">
              <w:rPr>
                <w:rFonts w:ascii="Wingdings" w:hAnsi="Wingdings" w:cs="Wingdings"/>
                <w:color w:val="FF0000"/>
                <w:sz w:val="20"/>
                <w:szCs w:val="20"/>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78,9 </w:t>
            </w:r>
            <w:r w:rsidRPr="00903059">
              <w:rPr>
                <w:rFonts w:ascii="Wingdings" w:hAnsi="Wingdings" w:cs="Wingdings"/>
                <w:color w:val="00FF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78,2 </w:t>
            </w:r>
            <w:r w:rsidRPr="00903059">
              <w:rPr>
                <w:rFonts w:ascii="Wingdings" w:hAnsi="Wingdings" w:cs="Wingdings"/>
                <w:color w:val="FF0000"/>
                <w:sz w:val="18"/>
                <w:szCs w:val="18"/>
                <w:lang w:eastAsia="nb-NO"/>
              </w:rPr>
              <w:t></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78,4 </w:t>
            </w:r>
            <w:r w:rsidRPr="00903059">
              <w:rPr>
                <w:rFonts w:ascii="Wingdings" w:hAnsi="Wingdings" w:cs="Wingdings"/>
                <w:color w:val="FF0000"/>
                <w:sz w:val="18"/>
                <w:szCs w:val="18"/>
                <w:lang w:eastAsia="nb-NO"/>
              </w:rPr>
              <w:t></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Hjul/hjuloppheng</w:t>
            </w:r>
          </w:p>
        </w:tc>
        <w:tc>
          <w:tcPr>
            <w:tcW w:w="865" w:type="dxa"/>
            <w:tcBorders>
              <w:top w:val="single" w:sz="8" w:space="0" w:color="808080"/>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76,6 </w:t>
            </w:r>
            <w:r w:rsidRPr="00903059">
              <w:rPr>
                <w:rFonts w:ascii="Wingdings" w:hAnsi="Wingdings" w:cs="Wingdings"/>
                <w:color w:val="FF00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76,7 </w:t>
            </w:r>
            <w:r w:rsidRPr="00903059">
              <w:rPr>
                <w:rFonts w:ascii="Wingdings" w:hAnsi="Wingdings" w:cs="Wingdings"/>
                <w:color w:val="FF00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77,3 </w:t>
            </w:r>
            <w:r w:rsidRPr="00903059">
              <w:rPr>
                <w:rFonts w:ascii="Wingdings" w:hAnsi="Wingdings" w:cs="Wingdings"/>
                <w:color w:val="FF00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77,7 </w:t>
            </w:r>
            <w:r w:rsidRPr="00903059">
              <w:rPr>
                <w:rFonts w:ascii="Wingdings" w:hAnsi="Wingdings" w:cs="Wingdings"/>
                <w:color w:val="00FF00"/>
                <w:sz w:val="18"/>
                <w:szCs w:val="18"/>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77,4 </w:t>
            </w:r>
            <w:r w:rsidRPr="00903059">
              <w:rPr>
                <w:rFonts w:ascii="Wingdings" w:hAnsi="Wingdings" w:cs="Wingdings"/>
                <w:color w:val="FF00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77,8 – </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77,8 </w:t>
            </w:r>
            <w:r w:rsidRPr="00903059">
              <w:rPr>
                <w:rFonts w:ascii="Wingdings" w:hAnsi="Wingdings" w:cs="Wingdings"/>
                <w:color w:val="FF0000"/>
                <w:sz w:val="18"/>
                <w:szCs w:val="18"/>
                <w:lang w:eastAsia="nb-NO"/>
              </w:rPr>
              <w:t></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Karosseri/påbygg/…</w:t>
            </w:r>
          </w:p>
        </w:tc>
        <w:tc>
          <w:tcPr>
            <w:tcW w:w="865" w:type="dxa"/>
            <w:tcBorders>
              <w:top w:val="single" w:sz="8" w:space="0" w:color="808080"/>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88,3 </w:t>
            </w:r>
            <w:r w:rsidRPr="00903059">
              <w:rPr>
                <w:rFonts w:ascii="Wingdings" w:hAnsi="Wingdings" w:cs="Wingdings"/>
                <w:color w:val="00FF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88,1 </w:t>
            </w:r>
            <w:r w:rsidRPr="00903059">
              <w:rPr>
                <w:rFonts w:ascii="Wingdings" w:hAnsi="Wingdings" w:cs="Wingdings"/>
                <w:color w:val="FF00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88,4 </w:t>
            </w:r>
            <w:r w:rsidRPr="00903059">
              <w:rPr>
                <w:rFonts w:ascii="Wingdings" w:hAnsi="Wingdings" w:cs="Wingdings"/>
                <w:color w:val="00FF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88,2 </w:t>
            </w:r>
            <w:r w:rsidRPr="00903059">
              <w:rPr>
                <w:rFonts w:ascii="Wingdings" w:hAnsi="Wingdings" w:cs="Wingdings"/>
                <w:color w:val="FF0000"/>
                <w:sz w:val="18"/>
                <w:szCs w:val="18"/>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88,4 </w:t>
            </w:r>
            <w:r w:rsidRPr="00903059">
              <w:rPr>
                <w:rFonts w:ascii="Wingdings" w:hAnsi="Wingdings" w:cs="Wingdings"/>
                <w:color w:val="00FF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87,9 </w:t>
            </w:r>
            <w:r w:rsidRPr="00903059">
              <w:rPr>
                <w:rFonts w:ascii="Wingdings" w:hAnsi="Wingdings" w:cs="Wingdings"/>
                <w:color w:val="FF0000"/>
                <w:sz w:val="18"/>
                <w:szCs w:val="18"/>
                <w:lang w:eastAsia="nb-NO"/>
              </w:rPr>
              <w:t></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88,3 </w:t>
            </w:r>
            <w:r w:rsidRPr="00903059">
              <w:rPr>
                <w:rFonts w:ascii="Wingdings" w:hAnsi="Wingdings" w:cs="Wingdings"/>
                <w:color w:val="FF0000"/>
                <w:sz w:val="18"/>
                <w:szCs w:val="18"/>
                <w:lang w:eastAsia="nb-NO"/>
              </w:rPr>
              <w:t></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Annet utstyr</w:t>
            </w:r>
          </w:p>
        </w:tc>
        <w:tc>
          <w:tcPr>
            <w:tcW w:w="865" w:type="dxa"/>
            <w:tcBorders>
              <w:top w:val="single" w:sz="8" w:space="0" w:color="808080"/>
              <w:left w:val="nil"/>
              <w:bottom w:val="nil"/>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93,8 </w:t>
            </w:r>
            <w:r w:rsidRPr="00903059">
              <w:rPr>
                <w:rFonts w:ascii="Wingdings" w:hAnsi="Wingdings" w:cs="Wingdings"/>
                <w:color w:val="FF00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93,9 </w:t>
            </w:r>
            <w:r w:rsidRPr="00903059">
              <w:rPr>
                <w:rFonts w:ascii="Wingdings" w:hAnsi="Wingdings" w:cs="Wingdings"/>
                <w:color w:val="00FF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93,1 </w:t>
            </w:r>
            <w:r w:rsidRPr="00903059">
              <w:rPr>
                <w:rFonts w:ascii="Wingdings" w:hAnsi="Wingdings" w:cs="Wingdings"/>
                <w:color w:val="00FF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92,8 </w:t>
            </w:r>
            <w:r w:rsidRPr="00903059">
              <w:rPr>
                <w:rFonts w:ascii="Wingdings" w:hAnsi="Wingdings" w:cs="Wingdings"/>
                <w:color w:val="00FF00"/>
                <w:sz w:val="18"/>
                <w:szCs w:val="18"/>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91,8 </w:t>
            </w:r>
            <w:r w:rsidRPr="00903059">
              <w:rPr>
                <w:rFonts w:ascii="Wingdings" w:hAnsi="Wingdings" w:cs="Wingdings"/>
                <w:color w:val="FF0000"/>
                <w:sz w:val="18"/>
                <w:szCs w:val="18"/>
                <w:lang w:eastAsia="nb-NO"/>
              </w:rPr>
              <w:t></w:t>
            </w:r>
          </w:p>
        </w:tc>
        <w:tc>
          <w:tcPr>
            <w:tcW w:w="916" w:type="dxa"/>
            <w:tcBorders>
              <w:top w:val="nil"/>
              <w:left w:val="nil"/>
              <w:bottom w:val="single" w:sz="8" w:space="0" w:color="808080"/>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94,6 </w:t>
            </w:r>
            <w:r w:rsidRPr="00903059">
              <w:rPr>
                <w:rFonts w:ascii="Wingdings" w:hAnsi="Wingdings" w:cs="Wingdings"/>
                <w:color w:val="00FF00"/>
                <w:sz w:val="18"/>
                <w:szCs w:val="18"/>
                <w:lang w:eastAsia="nb-NO"/>
              </w:rPr>
              <w:t></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93,9 </w:t>
            </w:r>
            <w:r w:rsidRPr="00903059">
              <w:rPr>
                <w:rFonts w:ascii="Wingdings" w:hAnsi="Wingdings" w:cs="Wingdings"/>
                <w:color w:val="00FF00"/>
                <w:sz w:val="18"/>
                <w:szCs w:val="18"/>
                <w:lang w:eastAsia="nb-NO"/>
              </w:rPr>
              <w:t></w:t>
            </w:r>
            <w:r w:rsidRPr="00903059">
              <w:rPr>
                <w:rFonts w:ascii="Verdana" w:hAnsi="Verdana" w:cs="Verdana"/>
                <w:color w:val="0000FF"/>
                <w:sz w:val="18"/>
                <w:szCs w:val="18"/>
                <w:lang w:eastAsia="nb-NO"/>
              </w:rPr>
              <w:t xml:space="preserve"> </w:t>
            </w:r>
          </w:p>
        </w:tc>
      </w:tr>
      <w:tr w:rsidR="001C02F5" w:rsidRPr="00903059">
        <w:trPr>
          <w:trHeight w:val="56"/>
        </w:trPr>
        <w:tc>
          <w:tcPr>
            <w:tcW w:w="2396" w:type="dxa"/>
            <w:tcBorders>
              <w:top w:val="nil"/>
              <w:left w:val="single" w:sz="8" w:space="0" w:color="808080"/>
              <w:bottom w:val="single" w:sz="8" w:space="0" w:color="808080"/>
              <w:right w:val="single" w:sz="8" w:space="0" w:color="808080"/>
            </w:tcBorders>
            <w:shd w:val="clear" w:color="000000" w:fill="FFFF99"/>
          </w:tcPr>
          <w:p w:rsidR="001C02F5" w:rsidRPr="00903059" w:rsidRDefault="001C02F5" w:rsidP="00475CFF">
            <w:pPr>
              <w:rPr>
                <w:rFonts w:ascii="Verdana" w:hAnsi="Verdana" w:cs="Verdana"/>
                <w:color w:val="0000FF"/>
                <w:sz w:val="18"/>
                <w:szCs w:val="18"/>
                <w:lang w:eastAsia="nb-NO"/>
              </w:rPr>
            </w:pPr>
            <w:r w:rsidRPr="00903059">
              <w:rPr>
                <w:rFonts w:ascii="Verdana" w:hAnsi="Verdana" w:cs="Verdana"/>
                <w:color w:val="0000FF"/>
                <w:sz w:val="18"/>
                <w:szCs w:val="18"/>
                <w:lang w:eastAsia="nb-NO"/>
              </w:rPr>
              <w:t>Miljø</w:t>
            </w:r>
          </w:p>
        </w:tc>
        <w:tc>
          <w:tcPr>
            <w:tcW w:w="865" w:type="dxa"/>
            <w:tcBorders>
              <w:top w:val="single" w:sz="8" w:space="0" w:color="808080"/>
              <w:left w:val="nil"/>
              <w:bottom w:val="single" w:sz="8" w:space="0" w:color="808080"/>
              <w:right w:val="nil"/>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93,6 </w:t>
            </w:r>
            <w:r w:rsidRPr="00903059">
              <w:rPr>
                <w:rFonts w:ascii="Wingdings" w:hAnsi="Wingdings" w:cs="Wingdings"/>
                <w:color w:val="FF0000"/>
                <w:sz w:val="18"/>
                <w:szCs w:val="18"/>
                <w:lang w:eastAsia="nb-NO"/>
              </w:rPr>
              <w:t></w:t>
            </w:r>
          </w:p>
        </w:tc>
        <w:tc>
          <w:tcPr>
            <w:tcW w:w="901" w:type="dxa"/>
            <w:tcBorders>
              <w:top w:val="nil"/>
              <w:left w:val="single" w:sz="4" w:space="0" w:color="auto"/>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94,1 </w:t>
            </w:r>
            <w:r w:rsidRPr="00903059">
              <w:rPr>
                <w:rFonts w:ascii="Wingdings" w:hAnsi="Wingdings" w:cs="Wingdings"/>
                <w:color w:val="00FF00"/>
                <w:sz w:val="20"/>
                <w:szCs w:val="20"/>
                <w:lang w:eastAsia="nb-NO"/>
              </w:rPr>
              <w:t></w:t>
            </w:r>
          </w:p>
        </w:tc>
        <w:tc>
          <w:tcPr>
            <w:tcW w:w="831"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Arial" w:hAnsi="Arial" w:cs="Arial"/>
                <w:color w:val="3333CC"/>
                <w:sz w:val="20"/>
                <w:szCs w:val="20"/>
                <w:lang w:eastAsia="nb-NO"/>
              </w:rPr>
            </w:pPr>
            <w:r w:rsidRPr="00903059">
              <w:rPr>
                <w:rFonts w:ascii="Arial" w:hAnsi="Arial" w:cs="Arial"/>
                <w:color w:val="3333CC"/>
                <w:sz w:val="20"/>
                <w:szCs w:val="20"/>
                <w:lang w:eastAsia="nb-NO"/>
              </w:rPr>
              <w:t xml:space="preserve">94,0 </w:t>
            </w:r>
            <w:r w:rsidRPr="00903059">
              <w:rPr>
                <w:rFonts w:ascii="Wingdings" w:hAnsi="Wingdings" w:cs="Wingdings"/>
                <w:color w:val="FF0000"/>
                <w:sz w:val="20"/>
                <w:szCs w:val="20"/>
                <w:lang w:eastAsia="nb-NO"/>
              </w:rPr>
              <w:t></w:t>
            </w:r>
          </w:p>
        </w:tc>
        <w:tc>
          <w:tcPr>
            <w:tcW w:w="929" w:type="dxa"/>
            <w:tcBorders>
              <w:top w:val="nil"/>
              <w:left w:val="nil"/>
              <w:bottom w:val="single" w:sz="4" w:space="0" w:color="auto"/>
              <w:right w:val="single" w:sz="4" w:space="0" w:color="auto"/>
            </w:tcBorders>
            <w:shd w:val="clear" w:color="000000" w:fill="FFFF99"/>
            <w:noWrap/>
            <w:vAlign w:val="bottom"/>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94,5 </w:t>
            </w:r>
            <w:r w:rsidRPr="00903059">
              <w:rPr>
                <w:rFonts w:ascii="Wingdings" w:hAnsi="Wingdings" w:cs="Wingdings"/>
                <w:color w:val="FF0000"/>
                <w:sz w:val="18"/>
                <w:szCs w:val="18"/>
                <w:lang w:eastAsia="nb-NO"/>
              </w:rPr>
              <w:t></w:t>
            </w:r>
          </w:p>
        </w:tc>
        <w:tc>
          <w:tcPr>
            <w:tcW w:w="1017" w:type="dxa"/>
            <w:tcBorders>
              <w:top w:val="nil"/>
              <w:left w:val="nil"/>
              <w:bottom w:val="single" w:sz="4" w:space="0" w:color="auto"/>
              <w:right w:val="single" w:sz="4" w:space="0" w:color="auto"/>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94,7 </w:t>
            </w:r>
            <w:r w:rsidRPr="00903059">
              <w:rPr>
                <w:rFonts w:ascii="Wingdings" w:hAnsi="Wingdings" w:cs="Wingdings"/>
                <w:color w:val="00FF00"/>
                <w:sz w:val="18"/>
                <w:szCs w:val="18"/>
                <w:lang w:eastAsia="nb-NO"/>
              </w:rPr>
              <w:t></w:t>
            </w:r>
          </w:p>
        </w:tc>
        <w:tc>
          <w:tcPr>
            <w:tcW w:w="916" w:type="dxa"/>
            <w:tcBorders>
              <w:top w:val="nil"/>
              <w:left w:val="nil"/>
              <w:bottom w:val="single" w:sz="8" w:space="0" w:color="969696"/>
              <w:right w:val="single" w:sz="8" w:space="0" w:color="969696"/>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94,6 </w:t>
            </w:r>
            <w:r w:rsidRPr="00903059">
              <w:rPr>
                <w:rFonts w:ascii="Wingdings" w:hAnsi="Wingdings" w:cs="Wingdings"/>
                <w:color w:val="00FF00"/>
                <w:sz w:val="18"/>
                <w:szCs w:val="18"/>
                <w:lang w:eastAsia="nb-NO"/>
              </w:rPr>
              <w:t></w:t>
            </w:r>
          </w:p>
        </w:tc>
        <w:tc>
          <w:tcPr>
            <w:tcW w:w="1070" w:type="dxa"/>
            <w:tcBorders>
              <w:top w:val="nil"/>
              <w:left w:val="nil"/>
              <w:bottom w:val="single" w:sz="8" w:space="0" w:color="808080"/>
              <w:right w:val="single" w:sz="8" w:space="0" w:color="808080"/>
            </w:tcBorders>
            <w:shd w:val="clear" w:color="000000" w:fill="FFFF99"/>
          </w:tcPr>
          <w:p w:rsidR="001C02F5" w:rsidRPr="00903059" w:rsidRDefault="001C02F5" w:rsidP="00475CFF">
            <w:pPr>
              <w:jc w:val="center"/>
              <w:rPr>
                <w:rFonts w:ascii="Verdana" w:hAnsi="Verdana" w:cs="Verdana"/>
                <w:color w:val="0000FF"/>
                <w:sz w:val="18"/>
                <w:szCs w:val="18"/>
                <w:lang w:eastAsia="nb-NO"/>
              </w:rPr>
            </w:pPr>
            <w:r w:rsidRPr="00903059">
              <w:rPr>
                <w:rFonts w:ascii="Verdana" w:hAnsi="Verdana" w:cs="Verdana"/>
                <w:color w:val="0000FF"/>
                <w:sz w:val="18"/>
                <w:szCs w:val="18"/>
                <w:lang w:eastAsia="nb-NO"/>
              </w:rPr>
              <w:t xml:space="preserve">94,4 </w:t>
            </w:r>
            <w:r w:rsidRPr="00903059">
              <w:rPr>
                <w:rFonts w:ascii="Wingdings" w:hAnsi="Wingdings" w:cs="Wingdings"/>
                <w:color w:val="FF0000"/>
                <w:sz w:val="18"/>
                <w:szCs w:val="18"/>
                <w:lang w:eastAsia="nb-NO"/>
              </w:rPr>
              <w:t></w:t>
            </w:r>
          </w:p>
        </w:tc>
      </w:tr>
    </w:tbl>
    <w:p w:rsidR="001C02F5" w:rsidRPr="00B6596A" w:rsidRDefault="001C02F5" w:rsidP="006A2D72"/>
    <w:p w:rsidR="001C02F5" w:rsidRDefault="001C02F5" w:rsidP="006A2D72"/>
    <w:p w:rsidR="001C02F5" w:rsidRPr="009045F9"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Default="001C02F5" w:rsidP="006A2D72"/>
    <w:p w:rsidR="001C02F5" w:rsidRPr="00FB6AC3" w:rsidRDefault="001C02F5" w:rsidP="006A2D72"/>
    <w:p w:rsidR="001C02F5" w:rsidRDefault="001C02F5" w:rsidP="006A2D72">
      <w:pPr>
        <w:jc w:val="center"/>
      </w:pPr>
    </w:p>
    <w:p w:rsidR="001C02F5" w:rsidRDefault="001C02F5" w:rsidP="006A2D72">
      <w:pPr>
        <w:pStyle w:val="Heading2"/>
      </w:pPr>
      <w:r>
        <w:t>4.4</w:t>
      </w:r>
      <w:r>
        <w:tab/>
      </w:r>
      <w:r w:rsidRPr="00765139">
        <w:t>Tunge kjøretøy</w:t>
      </w:r>
    </w:p>
    <w:p w:rsidR="001C02F5" w:rsidRPr="007C50D1" w:rsidRDefault="001C02F5" w:rsidP="006A2D72">
      <w:pPr>
        <w:pStyle w:val="Dokumenttekst"/>
      </w:pPr>
      <w:r>
        <w:t>En del kjøretøyeiere velger å utbedre feil før kontrollen. Godkjenningsandelene ved periodisk kjøretøykontroll gjenspeiler derfor ikke nødvendigvis den nøyaktige tilstanden på kjøretøyparken, men utviklingen over tid vil uansett kunne leses ut av resultatene.</w:t>
      </w:r>
    </w:p>
    <w:p w:rsidR="001C02F5" w:rsidRDefault="001C02F5" w:rsidP="006A2D72">
      <w:r>
        <w:t xml:space="preserve">69 047 tunge kjøretøy var inne til periodisk kjøretøykontroll i løpet av 2012. Av disse ble </w:t>
      </w:r>
    </w:p>
    <w:p w:rsidR="001C02F5" w:rsidRDefault="001C02F5" w:rsidP="006A2D72">
      <w:r>
        <w:t xml:space="preserve">31,9 % godkjent ved førstegangs kontroll. Dette er en nedgang på 0,3 prosentpoeng i forhold til 2011. I 2010 var godkjenningsandelen for tunge kjøretøy på 32,9 %. Godkjenningsandelene på de ulike kjøretøygruppene er for øvrig vist i tabell 7.  </w:t>
      </w:r>
    </w:p>
    <w:p w:rsidR="001C02F5" w:rsidRDefault="001C02F5" w:rsidP="006A2D72"/>
    <w:p w:rsidR="001C02F5" w:rsidRDefault="001C02F5" w:rsidP="006A2D72">
      <w:r>
        <w:t xml:space="preserve">Kategorien tunge kjøretøy består for det meste av busser, lastebiler/trekkbiler og påhengsvogn/slepvogn/semitrailer (tilhengere). Det er også disse tre kjøretøygruppene som har lavest godkjenningsandel i 2012: Lastebil/trekkbil med 30,8 %, påhengsvogn/slepvogn/semitrailer med 31,6 %, etterfulgt av buss med 37,1 %.  Disse tallene forteller om 0,1 prosentpoeng nedgang i godkjenningsandel for buss, en nedgang på 0,5 prosentpoeng for lastebil/trekkbil og for påhengsvogn/slepvogn/semitrailer en økning i godkjenningsandel på 2,1 prosentpoeng fra året før. </w:t>
      </w:r>
    </w:p>
    <w:p w:rsidR="001C02F5" w:rsidRDefault="001C02F5" w:rsidP="006A2D72"/>
    <w:p w:rsidR="001C02F5" w:rsidRDefault="001C02F5" w:rsidP="006A2D72">
      <w:r>
        <w:t xml:space="preserve">I gruppen personbil ble 117 kjøretøy kontrollert og 52,1 % godkjent ved førstegangs kontroll, en økning på 1,5 prosentpoeng fra året før. Gruppen motorredskap har en førstegangsgodkjenning på 44,3 %, 4,0 prosentpoeng høyere enn i 2011. </w:t>
      </w:r>
    </w:p>
    <w:p w:rsidR="001C02F5" w:rsidRDefault="001C02F5" w:rsidP="006A2D72"/>
    <w:p w:rsidR="001C02F5" w:rsidRDefault="001C02F5" w:rsidP="006A2D72">
      <w:r>
        <w:t>Gruppen kombinertbil hadde en nedgang på 0,8 prosentpoeng. For kjøretøygruppen varebil er det så få kjøretøy at det gir liten mening å registrere prosentvis endring fra år til år.</w:t>
      </w:r>
    </w:p>
    <w:p w:rsidR="001C02F5" w:rsidRDefault="001C02F5" w:rsidP="006A2D72"/>
    <w:p w:rsidR="001C02F5" w:rsidRDefault="001C02F5" w:rsidP="006A2D72">
      <w:r>
        <w:t>Totalt hadde to av kjøretøygruppene i kategorien tunge kjøretøy en økning i sine godkjenningsandeler i 2012 i forhold til 2011, mens fem av gruppene hadde en nedgang.</w:t>
      </w:r>
    </w:p>
    <w:p w:rsidR="001C02F5" w:rsidRDefault="001C02F5" w:rsidP="006A2D72"/>
    <w:p w:rsidR="001C02F5" w:rsidRDefault="001C02F5" w:rsidP="006A2D72">
      <w:pPr>
        <w:keepNext/>
        <w:spacing w:before="120" w:after="120"/>
        <w:rPr>
          <w:rFonts w:ascii="Verdana" w:hAnsi="Verdana" w:cs="Verdana"/>
          <w:b/>
          <w:bCs/>
          <w:sz w:val="16"/>
          <w:szCs w:val="16"/>
        </w:rPr>
      </w:pPr>
      <w:bookmarkStart w:id="19" w:name="_Ref126571475"/>
      <w:r w:rsidRPr="00B5066A">
        <w:rPr>
          <w:rFonts w:ascii="Verdana" w:hAnsi="Verdana" w:cs="Verdana"/>
          <w:b/>
          <w:bCs/>
          <w:sz w:val="16"/>
          <w:szCs w:val="16"/>
        </w:rPr>
        <w:t xml:space="preserve">Tabell </w:t>
      </w:r>
      <w:r w:rsidRPr="00B5066A">
        <w:rPr>
          <w:rFonts w:ascii="Verdana" w:hAnsi="Verdana" w:cs="Verdana"/>
          <w:b/>
          <w:bCs/>
          <w:sz w:val="16"/>
          <w:szCs w:val="16"/>
        </w:rPr>
        <w:fldChar w:fldCharType="begin"/>
      </w:r>
      <w:r w:rsidRPr="00B5066A">
        <w:rPr>
          <w:rFonts w:ascii="Verdana" w:hAnsi="Verdana" w:cs="Verdana"/>
          <w:b/>
          <w:bCs/>
          <w:sz w:val="16"/>
          <w:szCs w:val="16"/>
        </w:rPr>
        <w:instrText xml:space="preserve"> SEQ Tabell \* ARABIC </w:instrText>
      </w:r>
      <w:r w:rsidRPr="00B5066A">
        <w:rPr>
          <w:rFonts w:ascii="Verdana" w:hAnsi="Verdana" w:cs="Verdana"/>
          <w:b/>
          <w:bCs/>
          <w:sz w:val="16"/>
          <w:szCs w:val="16"/>
        </w:rPr>
        <w:fldChar w:fldCharType="separate"/>
      </w:r>
      <w:r>
        <w:rPr>
          <w:rFonts w:ascii="Verdana" w:hAnsi="Verdana" w:cs="Verdana"/>
          <w:b/>
          <w:bCs/>
          <w:noProof/>
          <w:sz w:val="16"/>
          <w:szCs w:val="16"/>
        </w:rPr>
        <w:t>7</w:t>
      </w:r>
      <w:r w:rsidRPr="00B5066A">
        <w:rPr>
          <w:rFonts w:ascii="Verdana" w:hAnsi="Verdana" w:cs="Verdana"/>
          <w:b/>
          <w:bCs/>
          <w:sz w:val="16"/>
          <w:szCs w:val="16"/>
        </w:rPr>
        <w:fldChar w:fldCharType="end"/>
      </w:r>
      <w:bookmarkEnd w:id="19"/>
      <w:r w:rsidRPr="00B5066A">
        <w:rPr>
          <w:rFonts w:ascii="Verdana" w:hAnsi="Verdana" w:cs="Verdana"/>
          <w:b/>
          <w:bCs/>
          <w:sz w:val="16"/>
          <w:szCs w:val="16"/>
        </w:rPr>
        <w:t xml:space="preserve"> Antall kontroller og godkjenningsandel for tunge kjøretøy (over 7500 kg), fordelt på kjøretøygruppe.</w:t>
      </w:r>
    </w:p>
    <w:tbl>
      <w:tblPr>
        <w:tblW w:w="8910" w:type="dxa"/>
        <w:tblInd w:w="55" w:type="dxa"/>
        <w:tblCellMar>
          <w:left w:w="70" w:type="dxa"/>
          <w:right w:w="70" w:type="dxa"/>
        </w:tblCellMar>
        <w:tblLook w:val="00A0"/>
      </w:tblPr>
      <w:tblGrid>
        <w:gridCol w:w="4358"/>
        <w:gridCol w:w="1961"/>
        <w:gridCol w:w="2591"/>
      </w:tblGrid>
      <w:tr w:rsidR="001C02F5" w:rsidRPr="006F07DB">
        <w:trPr>
          <w:trHeight w:val="270"/>
        </w:trPr>
        <w:tc>
          <w:tcPr>
            <w:tcW w:w="4358" w:type="dxa"/>
            <w:tcBorders>
              <w:top w:val="single" w:sz="8" w:space="0" w:color="808080"/>
              <w:left w:val="single" w:sz="8" w:space="0" w:color="808080"/>
              <w:bottom w:val="single" w:sz="8" w:space="0" w:color="808080"/>
              <w:right w:val="single" w:sz="8" w:space="0" w:color="808080"/>
            </w:tcBorders>
            <w:shd w:val="clear" w:color="000000" w:fill="800000"/>
          </w:tcPr>
          <w:p w:rsidR="001C02F5" w:rsidRPr="006F07DB" w:rsidRDefault="001C02F5" w:rsidP="00475CFF">
            <w:pPr>
              <w:jc w:val="center"/>
              <w:rPr>
                <w:rFonts w:ascii="Verdana" w:hAnsi="Verdana" w:cs="Verdana"/>
                <w:b/>
                <w:bCs/>
                <w:color w:val="FFFFFF"/>
                <w:sz w:val="18"/>
                <w:szCs w:val="18"/>
                <w:lang w:eastAsia="nb-NO"/>
              </w:rPr>
            </w:pPr>
            <w:r w:rsidRPr="006F07DB">
              <w:rPr>
                <w:rFonts w:ascii="Verdana" w:hAnsi="Verdana" w:cs="Verdana"/>
                <w:b/>
                <w:bCs/>
                <w:color w:val="FFFFFF"/>
                <w:sz w:val="18"/>
                <w:szCs w:val="18"/>
                <w:lang w:eastAsia="nb-NO"/>
              </w:rPr>
              <w:t>Kjøretøygruppe</w:t>
            </w:r>
          </w:p>
        </w:tc>
        <w:tc>
          <w:tcPr>
            <w:tcW w:w="1961" w:type="dxa"/>
            <w:tcBorders>
              <w:top w:val="single" w:sz="8" w:space="0" w:color="808080"/>
              <w:left w:val="nil"/>
              <w:bottom w:val="single" w:sz="8" w:space="0" w:color="808080"/>
              <w:right w:val="single" w:sz="8" w:space="0" w:color="808080"/>
            </w:tcBorders>
            <w:shd w:val="clear" w:color="000000" w:fill="800000"/>
          </w:tcPr>
          <w:p w:rsidR="001C02F5" w:rsidRPr="006F07DB" w:rsidRDefault="001C02F5" w:rsidP="00475CFF">
            <w:pPr>
              <w:jc w:val="center"/>
              <w:rPr>
                <w:rFonts w:ascii="Verdana" w:hAnsi="Verdana" w:cs="Verdana"/>
                <w:b/>
                <w:bCs/>
                <w:color w:val="FFFFFF"/>
                <w:sz w:val="18"/>
                <w:szCs w:val="18"/>
                <w:lang w:eastAsia="nb-NO"/>
              </w:rPr>
            </w:pPr>
            <w:r w:rsidRPr="006F07DB">
              <w:rPr>
                <w:rFonts w:ascii="Verdana" w:hAnsi="Verdana" w:cs="Verdana"/>
                <w:b/>
                <w:bCs/>
                <w:color w:val="FFFFFF"/>
                <w:sz w:val="18"/>
                <w:szCs w:val="18"/>
                <w:lang w:eastAsia="nb-NO"/>
              </w:rPr>
              <w:t>Antall kjøretøy</w:t>
            </w:r>
          </w:p>
        </w:tc>
        <w:tc>
          <w:tcPr>
            <w:tcW w:w="2591" w:type="dxa"/>
            <w:tcBorders>
              <w:top w:val="single" w:sz="8" w:space="0" w:color="808080"/>
              <w:left w:val="nil"/>
              <w:bottom w:val="single" w:sz="8" w:space="0" w:color="808080"/>
              <w:right w:val="single" w:sz="8" w:space="0" w:color="808080"/>
            </w:tcBorders>
            <w:shd w:val="clear" w:color="000000" w:fill="800000"/>
          </w:tcPr>
          <w:p w:rsidR="001C02F5" w:rsidRPr="006F07DB" w:rsidRDefault="001C02F5" w:rsidP="00475CFF">
            <w:pPr>
              <w:jc w:val="center"/>
              <w:rPr>
                <w:rFonts w:ascii="Verdana" w:hAnsi="Verdana" w:cs="Verdana"/>
                <w:b/>
                <w:bCs/>
                <w:color w:val="FFFFFF"/>
                <w:sz w:val="18"/>
                <w:szCs w:val="18"/>
                <w:lang w:eastAsia="nb-NO"/>
              </w:rPr>
            </w:pPr>
            <w:r w:rsidRPr="006F07DB">
              <w:rPr>
                <w:rFonts w:ascii="Verdana" w:hAnsi="Verdana" w:cs="Verdana"/>
                <w:b/>
                <w:bCs/>
                <w:color w:val="FFFFFF"/>
                <w:sz w:val="18"/>
                <w:szCs w:val="18"/>
                <w:lang w:eastAsia="nb-NO"/>
              </w:rPr>
              <w:t>Godkjenningsandel</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Personbil</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117</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52,1 %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Buss</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8 068</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37,1 %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Kombinertbil</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221</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37,6 %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Varebil</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0,0 %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Lastebil/trekkbil</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40 069</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30,8 %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Påhengsvogn/slepvogn/semitrailer</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20 172</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31,6 %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Motorredskap</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397</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44,6 %</w:t>
            </w:r>
          </w:p>
        </w:tc>
      </w:tr>
      <w:tr w:rsidR="001C02F5" w:rsidRPr="006F07DB">
        <w:trPr>
          <w:trHeight w:val="270"/>
        </w:trPr>
        <w:tc>
          <w:tcPr>
            <w:tcW w:w="4358" w:type="dxa"/>
            <w:tcBorders>
              <w:top w:val="nil"/>
              <w:left w:val="single" w:sz="8" w:space="0" w:color="808080"/>
              <w:bottom w:val="single" w:sz="8" w:space="0" w:color="808080"/>
              <w:right w:val="single" w:sz="8" w:space="0" w:color="808080"/>
            </w:tcBorders>
            <w:shd w:val="clear" w:color="000000" w:fill="FFFF99"/>
          </w:tcPr>
          <w:p w:rsidR="001C02F5" w:rsidRPr="006F07DB" w:rsidRDefault="001C02F5" w:rsidP="00475CFF">
            <w:pPr>
              <w:rPr>
                <w:rFonts w:ascii="Verdana" w:hAnsi="Verdana" w:cs="Verdana"/>
                <w:color w:val="0000FF"/>
                <w:sz w:val="18"/>
                <w:szCs w:val="18"/>
                <w:lang w:eastAsia="nb-NO"/>
              </w:rPr>
            </w:pPr>
            <w:r w:rsidRPr="006F07DB">
              <w:rPr>
                <w:rFonts w:ascii="Verdana" w:hAnsi="Verdana" w:cs="Verdana"/>
                <w:color w:val="0000FF"/>
                <w:sz w:val="18"/>
                <w:szCs w:val="18"/>
                <w:lang w:eastAsia="nb-NO"/>
              </w:rPr>
              <w:t>Totalt</w:t>
            </w:r>
          </w:p>
        </w:tc>
        <w:tc>
          <w:tcPr>
            <w:tcW w:w="196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69047</w:t>
            </w:r>
          </w:p>
        </w:tc>
        <w:tc>
          <w:tcPr>
            <w:tcW w:w="2591" w:type="dxa"/>
            <w:tcBorders>
              <w:top w:val="nil"/>
              <w:left w:val="nil"/>
              <w:bottom w:val="single" w:sz="8" w:space="0" w:color="808080"/>
              <w:right w:val="single" w:sz="8" w:space="0" w:color="808080"/>
            </w:tcBorders>
            <w:shd w:val="clear" w:color="000000" w:fill="FFFF99"/>
          </w:tcPr>
          <w:p w:rsidR="001C02F5" w:rsidRPr="006F07DB" w:rsidRDefault="001C02F5" w:rsidP="00475CFF">
            <w:pPr>
              <w:jc w:val="right"/>
              <w:rPr>
                <w:rFonts w:ascii="Verdana" w:hAnsi="Verdana" w:cs="Verdana"/>
                <w:color w:val="0000FF"/>
                <w:sz w:val="18"/>
                <w:szCs w:val="18"/>
                <w:lang w:eastAsia="nb-NO"/>
              </w:rPr>
            </w:pPr>
            <w:r w:rsidRPr="006F07DB">
              <w:rPr>
                <w:rFonts w:ascii="Verdana" w:hAnsi="Verdana" w:cs="Verdana"/>
                <w:color w:val="0000FF"/>
                <w:sz w:val="18"/>
                <w:szCs w:val="18"/>
                <w:lang w:eastAsia="nb-NO"/>
              </w:rPr>
              <w:t>31,9 %</w:t>
            </w:r>
          </w:p>
        </w:tc>
      </w:tr>
    </w:tbl>
    <w:p w:rsidR="001C02F5" w:rsidRDefault="001C02F5" w:rsidP="006A2D72">
      <w:pPr>
        <w:keepNext/>
        <w:spacing w:before="120" w:after="120"/>
        <w:rPr>
          <w:rFonts w:ascii="Verdana" w:hAnsi="Verdana" w:cs="Verdana"/>
          <w:b/>
          <w:bCs/>
          <w:sz w:val="16"/>
          <w:szCs w:val="16"/>
        </w:rPr>
      </w:pPr>
    </w:p>
    <w:p w:rsidR="001C02F5" w:rsidRDefault="001C02F5" w:rsidP="006A2D72">
      <w:pPr>
        <w:keepNext/>
        <w:spacing w:before="120" w:after="120"/>
        <w:rPr>
          <w:rFonts w:ascii="Verdana" w:hAnsi="Verdana" w:cs="Verdana"/>
          <w:b/>
          <w:bCs/>
          <w:sz w:val="16"/>
          <w:szCs w:val="16"/>
        </w:rPr>
      </w:pPr>
    </w:p>
    <w:p w:rsidR="001C02F5" w:rsidRDefault="001C02F5" w:rsidP="006A2D72">
      <w:pPr>
        <w:keepNext/>
        <w:spacing w:before="120" w:after="120"/>
        <w:rPr>
          <w:rFonts w:ascii="Verdana" w:hAnsi="Verdana" w:cs="Verdana"/>
          <w:b/>
          <w:bCs/>
          <w:sz w:val="16"/>
          <w:szCs w:val="16"/>
        </w:rPr>
      </w:pPr>
    </w:p>
    <w:p w:rsidR="001C02F5" w:rsidRDefault="001C02F5" w:rsidP="006A2D72">
      <w:pPr>
        <w:rPr>
          <w:rFonts w:ascii="Verdana" w:hAnsi="Verdana" w:cs="Verdana"/>
          <w:b/>
          <w:bCs/>
          <w:sz w:val="16"/>
          <w:szCs w:val="16"/>
        </w:rPr>
      </w:pPr>
    </w:p>
    <w:p w:rsidR="001C02F5" w:rsidRDefault="001C02F5" w:rsidP="006A2D72">
      <w:pPr>
        <w:rPr>
          <w:rFonts w:ascii="Verdana" w:hAnsi="Verdana" w:cs="Verdana"/>
          <w:b/>
          <w:bCs/>
          <w:sz w:val="16"/>
          <w:szCs w:val="16"/>
        </w:rPr>
      </w:pPr>
    </w:p>
    <w:p w:rsidR="001C02F5" w:rsidRDefault="001C02F5" w:rsidP="006A2D72"/>
    <w:p w:rsidR="001C02F5" w:rsidRDefault="001C02F5" w:rsidP="006A2D72"/>
    <w:p w:rsidR="001C02F5" w:rsidRDefault="001C02F5" w:rsidP="006A2D72"/>
    <w:p w:rsidR="001C02F5" w:rsidRDefault="001C02F5" w:rsidP="006A2D72"/>
    <w:p w:rsidR="001C02F5" w:rsidRDefault="001C02F5" w:rsidP="006A2D72">
      <w:r>
        <w:t xml:space="preserve">I 2008 hadde alle hovedgruppene av kontrollpunkter ved periodisk kjøretøykontroll av tunge kjøretøy økning eller tilsvarende verdier i godkjenningsandelene. I 2009 så vi også økninger i alle hovedgrupper bortsett fra i gruppene sikt og miljø. I 2010 så vi ytterligere økning for alle hovedgrupper, unntatt lys/refleks/el. utstyr og miljø. I 2011 så vi en økning i godkjenningsandel for hovedgruppene sikt, miljø, og annet utstyr, samt en nedgang i godkjenningsandel for øvrige grupper. </w:t>
      </w:r>
    </w:p>
    <w:p w:rsidR="001C02F5" w:rsidRDefault="001C02F5" w:rsidP="006A2D72"/>
    <w:p w:rsidR="001C02F5" w:rsidRDefault="001C02F5" w:rsidP="006A2D72">
      <w:r>
        <w:t>For 2012 ser vi en økning i godkjenningsandel for hovedgruppene sikt, karosseri/påbygg, og annet utstyr. Samtidig ser vi en nedgang i godkjenningsandel for hovedgruppene bremser, styring, lys/refleks/el.utstyr, hjul/hjuloppheng, og miljø.</w:t>
      </w:r>
    </w:p>
    <w:p w:rsidR="001C02F5" w:rsidRDefault="001C02F5" w:rsidP="006A2D72"/>
    <w:p w:rsidR="001C02F5" w:rsidRDefault="001C02F5" w:rsidP="006A2D72">
      <w:r>
        <w:t>Også for tunge kjøretøy er den laveste godkjenningsandelen å finne ved kontrollpunktet bremser. Som for kjøretøykategoriene lette og mellomtunge finner vi at trenden knyttet til godkjenningsandel for bremser er nedadgående. Blant tunge kjøretøy er godkjenningsandelen for bremser i 2012 på 55,4 %, dette er 0,6 prosentpoeng nedgang fra 2011. Høyest godkjenningsandel finner vi i kontrollgruppen sikt med 94,1 %, etterfulgt av kontrollgruppen styring med 92,3 %.</w:t>
      </w:r>
    </w:p>
    <w:p w:rsidR="001C02F5" w:rsidRPr="005E06D6" w:rsidRDefault="001C02F5" w:rsidP="006A2D72"/>
    <w:p w:rsidR="001C02F5" w:rsidRDefault="001C02F5" w:rsidP="006A2D72">
      <w:r>
        <w:t>Hovedgruppen styring hadde en nedgang i godkjenningsandel på 0,3 prosentpoeng, hjul/hjuloppheng og lys/refleks/el.</w:t>
      </w:r>
      <w:r w:rsidRPr="0007138A">
        <w:t xml:space="preserve"> </w:t>
      </w:r>
      <w:r>
        <w:t>utstyr hadde begge en nedgang på 0,2 prosentpoeng, mens hovedgruppen miljø hadde en nedgang på 0,1 prosentpoeng.</w:t>
      </w:r>
    </w:p>
    <w:p w:rsidR="001C02F5" w:rsidRDefault="001C02F5" w:rsidP="006A2D72"/>
    <w:p w:rsidR="001C02F5" w:rsidRDefault="001C02F5" w:rsidP="006A2D72">
      <w:r>
        <w:t>Hovedgruppen sikt hadde en økning i godkjenningsandel på 0,6 prosentpoeng, karosseri/påbygg hadde en økning på 0,3 prosentpoeng, og annet utstyr hadde en økning på 0,1 prosentpoeng.</w:t>
      </w:r>
    </w:p>
    <w:p w:rsidR="001C02F5" w:rsidRDefault="001C02F5" w:rsidP="006A2D72"/>
    <w:p w:rsidR="001C02F5" w:rsidRDefault="001C02F5" w:rsidP="006A2D72">
      <w:r>
        <w:t xml:space="preserve">Resultatene og trendene er vist i tabell 8. </w:t>
      </w:r>
    </w:p>
    <w:p w:rsidR="001C02F5" w:rsidRDefault="001C02F5" w:rsidP="006A2D72"/>
    <w:p w:rsidR="001C02F5" w:rsidRDefault="001C02F5" w:rsidP="006A2D72">
      <w:pPr>
        <w:pStyle w:val="Caption"/>
        <w:keepNext/>
        <w:rPr>
          <w:rFonts w:ascii="Verdana" w:hAnsi="Verdana" w:cs="Verdana"/>
          <w:sz w:val="16"/>
          <w:szCs w:val="16"/>
        </w:rPr>
      </w:pPr>
      <w:bookmarkStart w:id="20" w:name="_Ref126571510"/>
      <w:r w:rsidRPr="003A0B03">
        <w:rPr>
          <w:rFonts w:ascii="Verdana" w:hAnsi="Verdana" w:cs="Verdana"/>
          <w:sz w:val="16"/>
          <w:szCs w:val="16"/>
        </w:rPr>
        <w:t xml:space="preserve">Tabell </w:t>
      </w:r>
      <w:r w:rsidRPr="003A0B03">
        <w:rPr>
          <w:rFonts w:ascii="Verdana" w:hAnsi="Verdana" w:cs="Verdana"/>
          <w:sz w:val="16"/>
          <w:szCs w:val="16"/>
        </w:rPr>
        <w:fldChar w:fldCharType="begin"/>
      </w:r>
      <w:r w:rsidRPr="003A0B03">
        <w:rPr>
          <w:rFonts w:ascii="Verdana" w:hAnsi="Verdana" w:cs="Verdana"/>
          <w:sz w:val="16"/>
          <w:szCs w:val="16"/>
        </w:rPr>
        <w:instrText xml:space="preserve"> SEQ Tabell \* ARABIC </w:instrText>
      </w:r>
      <w:r w:rsidRPr="003A0B03">
        <w:rPr>
          <w:rFonts w:ascii="Verdana" w:hAnsi="Verdana" w:cs="Verdana"/>
          <w:sz w:val="16"/>
          <w:szCs w:val="16"/>
        </w:rPr>
        <w:fldChar w:fldCharType="separate"/>
      </w:r>
      <w:r>
        <w:rPr>
          <w:rFonts w:ascii="Verdana" w:hAnsi="Verdana" w:cs="Verdana"/>
          <w:noProof/>
          <w:sz w:val="16"/>
          <w:szCs w:val="16"/>
        </w:rPr>
        <w:t>8</w:t>
      </w:r>
      <w:r w:rsidRPr="003A0B03">
        <w:rPr>
          <w:rFonts w:ascii="Verdana" w:hAnsi="Verdana" w:cs="Verdana"/>
          <w:sz w:val="16"/>
          <w:szCs w:val="16"/>
        </w:rPr>
        <w:fldChar w:fldCharType="end"/>
      </w:r>
      <w:bookmarkEnd w:id="20"/>
      <w:r w:rsidRPr="003A0B03">
        <w:rPr>
          <w:rFonts w:ascii="Verdana" w:hAnsi="Verdana" w:cs="Verdana"/>
          <w:sz w:val="16"/>
          <w:szCs w:val="16"/>
        </w:rPr>
        <w:t xml:space="preserve"> Godkjenningsandeler for de enkelte hovedgruppene - tunge kjøretøy med tillatt totalvekt over</w:t>
      </w:r>
      <w:r>
        <w:rPr>
          <w:rFonts w:ascii="Verdana" w:hAnsi="Verdana" w:cs="Verdana"/>
          <w:sz w:val="16"/>
          <w:szCs w:val="16"/>
        </w:rPr>
        <w:t xml:space="preserve"> 7 500 kg.</w:t>
      </w:r>
    </w:p>
    <w:p w:rsidR="001C02F5" w:rsidRPr="00AE5ECE" w:rsidRDefault="001C02F5" w:rsidP="006A2D72"/>
    <w:tbl>
      <w:tblPr>
        <w:tblpPr w:leftFromText="141" w:rightFromText="141" w:vertAnchor="text" w:horzAnchor="margin" w:tblpY="38"/>
        <w:tblW w:w="8927" w:type="dxa"/>
        <w:tblLayout w:type="fixed"/>
        <w:tblCellMar>
          <w:left w:w="70" w:type="dxa"/>
          <w:right w:w="70" w:type="dxa"/>
        </w:tblCellMar>
        <w:tblLook w:val="00A0"/>
      </w:tblPr>
      <w:tblGrid>
        <w:gridCol w:w="2455"/>
        <w:gridCol w:w="885"/>
        <w:gridCol w:w="814"/>
        <w:gridCol w:w="814"/>
        <w:gridCol w:w="885"/>
        <w:gridCol w:w="891"/>
        <w:gridCol w:w="1090"/>
        <w:gridCol w:w="1093"/>
      </w:tblGrid>
      <w:tr w:rsidR="001C02F5" w:rsidRPr="00AE5ECE">
        <w:trPr>
          <w:trHeight w:val="98"/>
        </w:trPr>
        <w:tc>
          <w:tcPr>
            <w:tcW w:w="2455" w:type="dxa"/>
            <w:tcBorders>
              <w:top w:val="single" w:sz="8" w:space="0" w:color="808080"/>
              <w:left w:val="single" w:sz="8" w:space="0" w:color="808080"/>
              <w:bottom w:val="nil"/>
              <w:right w:val="single" w:sz="8" w:space="0" w:color="808080"/>
            </w:tcBorders>
            <w:shd w:val="clear" w:color="000000" w:fill="800000"/>
          </w:tcPr>
          <w:p w:rsidR="001C02F5" w:rsidRPr="00AE5ECE" w:rsidRDefault="001C02F5" w:rsidP="00475CFF">
            <w:pPr>
              <w:rPr>
                <w:rFonts w:ascii="Verdana" w:hAnsi="Verdana" w:cs="Verdana"/>
                <w:b/>
                <w:bCs/>
                <w:color w:val="FFFFFF"/>
                <w:sz w:val="18"/>
                <w:szCs w:val="18"/>
                <w:lang w:eastAsia="nb-NO"/>
              </w:rPr>
            </w:pPr>
            <w:r w:rsidRPr="00AE5ECE">
              <w:rPr>
                <w:rFonts w:ascii="Verdana" w:hAnsi="Verdana" w:cs="Verdana"/>
                <w:b/>
                <w:bCs/>
                <w:color w:val="FFFFFF"/>
                <w:sz w:val="18"/>
                <w:szCs w:val="18"/>
                <w:lang w:eastAsia="nb-NO"/>
              </w:rPr>
              <w:t> </w:t>
            </w:r>
          </w:p>
        </w:tc>
        <w:tc>
          <w:tcPr>
            <w:tcW w:w="6472" w:type="dxa"/>
            <w:gridSpan w:val="7"/>
            <w:tcBorders>
              <w:top w:val="nil"/>
              <w:left w:val="nil"/>
              <w:bottom w:val="single" w:sz="8" w:space="0" w:color="808080"/>
              <w:right w:val="nil"/>
            </w:tcBorders>
            <w:shd w:val="clear" w:color="000000" w:fill="800000"/>
          </w:tcPr>
          <w:p w:rsidR="001C02F5" w:rsidRPr="00AE5ECE" w:rsidRDefault="001C02F5" w:rsidP="00475CFF">
            <w:pPr>
              <w:jc w:val="center"/>
              <w:rPr>
                <w:rFonts w:ascii="Verdana" w:hAnsi="Verdana" w:cs="Verdana"/>
                <w:b/>
                <w:bCs/>
                <w:color w:val="FFFFFF"/>
                <w:sz w:val="18"/>
                <w:szCs w:val="18"/>
                <w:lang w:eastAsia="nb-NO"/>
              </w:rPr>
            </w:pPr>
            <w:r w:rsidRPr="00AE5ECE">
              <w:rPr>
                <w:rFonts w:ascii="Verdana" w:hAnsi="Verdana" w:cs="Verdana"/>
                <w:b/>
                <w:bCs/>
                <w:color w:val="FFFFFF"/>
                <w:sz w:val="18"/>
                <w:szCs w:val="18"/>
                <w:lang w:eastAsia="nb-NO"/>
              </w:rPr>
              <w:t>Godkjenningsandeler (%)</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800000"/>
          </w:tcPr>
          <w:p w:rsidR="001C02F5" w:rsidRPr="00AE5ECE" w:rsidRDefault="001C02F5" w:rsidP="00475CFF">
            <w:pPr>
              <w:rPr>
                <w:rFonts w:ascii="Verdana" w:hAnsi="Verdana" w:cs="Verdana"/>
                <w:b/>
                <w:bCs/>
                <w:color w:val="FFFFFF"/>
                <w:sz w:val="18"/>
                <w:szCs w:val="18"/>
                <w:lang w:eastAsia="nb-NO"/>
              </w:rPr>
            </w:pPr>
            <w:r w:rsidRPr="00AE5ECE">
              <w:rPr>
                <w:rFonts w:ascii="Verdana" w:hAnsi="Verdana" w:cs="Verdana"/>
                <w:b/>
                <w:bCs/>
                <w:color w:val="FFFFFF"/>
                <w:sz w:val="18"/>
                <w:szCs w:val="18"/>
                <w:lang w:eastAsia="nb-NO"/>
              </w:rPr>
              <w:t>Hovedgruppe</w:t>
            </w:r>
          </w:p>
        </w:tc>
        <w:tc>
          <w:tcPr>
            <w:tcW w:w="885" w:type="dxa"/>
            <w:tcBorders>
              <w:top w:val="single" w:sz="8" w:space="0" w:color="808080"/>
              <w:left w:val="nil"/>
              <w:bottom w:val="nil"/>
              <w:right w:val="single" w:sz="8" w:space="0" w:color="808080"/>
            </w:tcBorders>
            <w:shd w:val="clear" w:color="000000" w:fill="800000"/>
            <w:noWrap/>
            <w:vAlign w:val="bottom"/>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2012</w:t>
            </w:r>
          </w:p>
        </w:tc>
        <w:tc>
          <w:tcPr>
            <w:tcW w:w="814" w:type="dxa"/>
            <w:tcBorders>
              <w:top w:val="nil"/>
              <w:left w:val="nil"/>
              <w:bottom w:val="nil"/>
              <w:right w:val="nil"/>
            </w:tcBorders>
            <w:shd w:val="clear" w:color="000000" w:fill="800000"/>
            <w:noWrap/>
            <w:vAlign w:val="bottom"/>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2011</w:t>
            </w:r>
          </w:p>
        </w:tc>
        <w:tc>
          <w:tcPr>
            <w:tcW w:w="814" w:type="dxa"/>
            <w:tcBorders>
              <w:top w:val="nil"/>
              <w:left w:val="nil"/>
              <w:bottom w:val="nil"/>
              <w:right w:val="nil"/>
            </w:tcBorders>
            <w:shd w:val="clear" w:color="000000" w:fill="800000"/>
            <w:noWrap/>
            <w:vAlign w:val="bottom"/>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2010</w:t>
            </w:r>
          </w:p>
        </w:tc>
        <w:tc>
          <w:tcPr>
            <w:tcW w:w="885" w:type="dxa"/>
            <w:tcBorders>
              <w:top w:val="nil"/>
              <w:left w:val="nil"/>
              <w:bottom w:val="nil"/>
              <w:right w:val="nil"/>
            </w:tcBorders>
            <w:shd w:val="clear" w:color="000000" w:fill="800000"/>
            <w:noWrap/>
            <w:vAlign w:val="bottom"/>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2009</w:t>
            </w:r>
          </w:p>
        </w:tc>
        <w:tc>
          <w:tcPr>
            <w:tcW w:w="891" w:type="dxa"/>
            <w:tcBorders>
              <w:top w:val="nil"/>
              <w:left w:val="single" w:sz="8" w:space="0" w:color="808080"/>
              <w:bottom w:val="single" w:sz="8" w:space="0" w:color="808080"/>
              <w:right w:val="nil"/>
            </w:tcBorders>
            <w:shd w:val="clear" w:color="000000" w:fill="800000"/>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2008</w:t>
            </w:r>
          </w:p>
        </w:tc>
        <w:tc>
          <w:tcPr>
            <w:tcW w:w="1090" w:type="dxa"/>
            <w:tcBorders>
              <w:top w:val="nil"/>
              <w:left w:val="single" w:sz="8" w:space="0" w:color="808080"/>
              <w:bottom w:val="single" w:sz="8" w:space="0" w:color="808080"/>
              <w:right w:val="nil"/>
            </w:tcBorders>
            <w:shd w:val="clear" w:color="000000" w:fill="800000"/>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2007</w:t>
            </w:r>
          </w:p>
        </w:tc>
        <w:tc>
          <w:tcPr>
            <w:tcW w:w="1091" w:type="dxa"/>
            <w:tcBorders>
              <w:top w:val="nil"/>
              <w:left w:val="nil"/>
              <w:bottom w:val="single" w:sz="8" w:space="0" w:color="808080"/>
              <w:right w:val="single" w:sz="8" w:space="0" w:color="808080"/>
            </w:tcBorders>
            <w:shd w:val="clear" w:color="000000" w:fill="800000"/>
            <w:noWrap/>
          </w:tcPr>
          <w:p w:rsidR="001C02F5" w:rsidRPr="005D67BD" w:rsidRDefault="001C02F5" w:rsidP="00475CFF">
            <w:pPr>
              <w:jc w:val="center"/>
              <w:rPr>
                <w:rFonts w:ascii="Verdana" w:hAnsi="Verdana" w:cs="Verdana"/>
                <w:b/>
                <w:bCs/>
                <w:color w:val="FFFFFF"/>
                <w:sz w:val="18"/>
                <w:szCs w:val="18"/>
                <w:lang w:eastAsia="nb-NO"/>
              </w:rPr>
            </w:pPr>
            <w:r w:rsidRPr="005D67BD">
              <w:rPr>
                <w:rFonts w:ascii="Verdana" w:hAnsi="Verdana" w:cs="Verdana"/>
                <w:b/>
                <w:bCs/>
                <w:color w:val="FFFFFF"/>
                <w:sz w:val="18"/>
                <w:szCs w:val="18"/>
                <w:lang w:eastAsia="nb-NO"/>
              </w:rPr>
              <w:t>2006</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Bremser</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55,4 </w:t>
            </w:r>
            <w:r w:rsidRPr="00AE5ECE">
              <w:rPr>
                <w:rFonts w:ascii="Wingdings" w:hAnsi="Wingdings" w:cs="Wingdings"/>
                <w:color w:val="FF0000"/>
                <w:sz w:val="18"/>
                <w:szCs w:val="18"/>
                <w:lang w:eastAsia="nb-NO"/>
              </w:rPr>
              <w:t></w:t>
            </w:r>
          </w:p>
        </w:tc>
        <w:tc>
          <w:tcPr>
            <w:tcW w:w="814" w:type="dxa"/>
            <w:tcBorders>
              <w:top w:val="single" w:sz="4" w:space="0" w:color="auto"/>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56,0 </w:t>
            </w:r>
            <w:r w:rsidRPr="00AE5ECE">
              <w:rPr>
                <w:rFonts w:ascii="Wingdings" w:hAnsi="Wingdings" w:cs="Wingdings"/>
                <w:color w:val="FF0000"/>
                <w:sz w:val="18"/>
                <w:szCs w:val="18"/>
                <w:lang w:eastAsia="nb-NO"/>
              </w:rPr>
              <w:t></w:t>
            </w:r>
          </w:p>
        </w:tc>
        <w:tc>
          <w:tcPr>
            <w:tcW w:w="814" w:type="dxa"/>
            <w:tcBorders>
              <w:top w:val="single" w:sz="4" w:space="0" w:color="auto"/>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57,2 </w:t>
            </w:r>
            <w:r w:rsidRPr="00AE5ECE">
              <w:rPr>
                <w:rFonts w:ascii="Wingdings" w:hAnsi="Wingdings" w:cs="Wingdings"/>
                <w:color w:val="00FF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57,0 </w:t>
            </w:r>
            <w:r w:rsidRPr="00AE5ECE">
              <w:rPr>
                <w:rFonts w:ascii="Wingdings" w:hAnsi="Wingdings" w:cs="Wingdings"/>
                <w:color w:val="00FF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54,8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52,7 –</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52,7 </w:t>
            </w:r>
            <w:r w:rsidRPr="00AE5ECE">
              <w:rPr>
                <w:rFonts w:ascii="Wingdings" w:hAnsi="Wingdings" w:cs="Wingdings"/>
                <w:color w:val="FF0000"/>
                <w:sz w:val="18"/>
                <w:szCs w:val="18"/>
                <w:lang w:eastAsia="nb-NO"/>
              </w:rPr>
              <w:t></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Styring</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92,3 </w:t>
            </w:r>
            <w:r w:rsidRPr="00AE5ECE">
              <w:rPr>
                <w:rFonts w:ascii="Wingdings" w:hAnsi="Wingdings" w:cs="Wingdings"/>
                <w:color w:val="FF00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92,6 </w:t>
            </w:r>
            <w:r w:rsidRPr="00AE5ECE">
              <w:rPr>
                <w:rFonts w:ascii="Wingdings" w:hAnsi="Wingdings" w:cs="Wingdings"/>
                <w:color w:val="FF00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93,0 </w:t>
            </w:r>
            <w:r w:rsidRPr="00AE5ECE">
              <w:rPr>
                <w:rFonts w:ascii="Wingdings" w:hAnsi="Wingdings" w:cs="Wingdings"/>
                <w:color w:val="00FF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92,6 </w:t>
            </w:r>
            <w:r w:rsidRPr="00AE5ECE">
              <w:rPr>
                <w:rFonts w:ascii="Wingdings" w:hAnsi="Wingdings" w:cs="Wingdings"/>
                <w:color w:val="00FF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92,1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91,5 </w:t>
            </w:r>
            <w:r w:rsidRPr="00AE5ECE">
              <w:rPr>
                <w:rFonts w:ascii="Wingdings" w:hAnsi="Wingdings" w:cs="Wingdings"/>
                <w:color w:val="FF00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91,6 – </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Sikt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94,1 </w:t>
            </w:r>
            <w:r w:rsidRPr="00AE5ECE">
              <w:rPr>
                <w:rFonts w:ascii="Wingdings" w:hAnsi="Wingdings" w:cs="Wingdings"/>
                <w:color w:val="00FF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93,5 </w:t>
            </w:r>
            <w:r w:rsidRPr="00AE5ECE">
              <w:rPr>
                <w:rFonts w:ascii="Wingdings" w:hAnsi="Wingdings" w:cs="Wingdings"/>
                <w:color w:val="00FF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91,6 </w:t>
            </w:r>
            <w:r w:rsidRPr="00AE5ECE">
              <w:rPr>
                <w:rFonts w:ascii="Wingdings" w:hAnsi="Wingdings" w:cs="Wingdings"/>
                <w:color w:val="00FF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91,5 </w:t>
            </w:r>
            <w:r w:rsidRPr="00AE5ECE">
              <w:rPr>
                <w:rFonts w:ascii="Wingdings" w:hAnsi="Wingdings" w:cs="Wingdings"/>
                <w:color w:val="FF00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93,9 –</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93,9 </w:t>
            </w:r>
            <w:r w:rsidRPr="00AE5ECE">
              <w:rPr>
                <w:rFonts w:ascii="Wingdings" w:hAnsi="Wingdings" w:cs="Wingdings"/>
                <w:color w:val="FF00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94,3 </w:t>
            </w:r>
            <w:r w:rsidRPr="00AE5ECE">
              <w:rPr>
                <w:rFonts w:ascii="Wingdings" w:hAnsi="Wingdings" w:cs="Wingdings"/>
                <w:color w:val="FF0000"/>
                <w:sz w:val="18"/>
                <w:szCs w:val="18"/>
                <w:lang w:eastAsia="nb-NO"/>
              </w:rPr>
              <w:t></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Lys/refleks/el.utstyr</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74,4 </w:t>
            </w:r>
            <w:r w:rsidRPr="00AE5ECE">
              <w:rPr>
                <w:rFonts w:ascii="Wingdings" w:hAnsi="Wingdings" w:cs="Wingdings"/>
                <w:color w:val="FF00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74,6 </w:t>
            </w:r>
            <w:r w:rsidRPr="00AE5ECE">
              <w:rPr>
                <w:rFonts w:ascii="Wingdings" w:hAnsi="Wingdings" w:cs="Wingdings"/>
                <w:color w:val="FF00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75,2 </w:t>
            </w:r>
            <w:r w:rsidRPr="00AE5ECE">
              <w:rPr>
                <w:rFonts w:ascii="Wingdings" w:hAnsi="Wingdings" w:cs="Wingdings"/>
                <w:color w:val="FF00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78,5 </w:t>
            </w:r>
            <w:r w:rsidRPr="00AE5ECE">
              <w:rPr>
                <w:rFonts w:ascii="Wingdings" w:hAnsi="Wingdings" w:cs="Wingdings"/>
                <w:color w:val="00FF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74,6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72,9 </w:t>
            </w:r>
            <w:r w:rsidRPr="00AE5ECE">
              <w:rPr>
                <w:rFonts w:ascii="Wingdings" w:hAnsi="Wingdings" w:cs="Wingdings"/>
                <w:color w:val="FF00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73,5 </w:t>
            </w:r>
            <w:r w:rsidRPr="00AE5ECE">
              <w:rPr>
                <w:rFonts w:ascii="Wingdings" w:hAnsi="Wingdings" w:cs="Wingdings"/>
                <w:color w:val="FF0000"/>
                <w:sz w:val="18"/>
                <w:szCs w:val="18"/>
                <w:lang w:eastAsia="nb-NO"/>
              </w:rPr>
              <w:t></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Hjul/hjuloppheng</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71,3 </w:t>
            </w:r>
            <w:r w:rsidRPr="00AE5ECE">
              <w:rPr>
                <w:rFonts w:ascii="Wingdings" w:hAnsi="Wingdings" w:cs="Wingdings"/>
                <w:color w:val="FF00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71,5 </w:t>
            </w:r>
            <w:r w:rsidRPr="00AE5ECE">
              <w:rPr>
                <w:rFonts w:ascii="Wingdings" w:hAnsi="Wingdings" w:cs="Wingdings"/>
                <w:color w:val="FF00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72,7 </w:t>
            </w:r>
            <w:r w:rsidRPr="00AE5ECE">
              <w:rPr>
                <w:rFonts w:ascii="Wingdings" w:hAnsi="Wingdings" w:cs="Wingdings"/>
                <w:color w:val="00FF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72,5 </w:t>
            </w:r>
            <w:r w:rsidRPr="00AE5ECE">
              <w:rPr>
                <w:rFonts w:ascii="Wingdings" w:hAnsi="Wingdings" w:cs="Wingdings"/>
                <w:color w:val="00FF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70,6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69,0 </w:t>
            </w:r>
            <w:r w:rsidRPr="00AE5ECE">
              <w:rPr>
                <w:rFonts w:ascii="Wingdings" w:hAnsi="Wingdings" w:cs="Wingdings"/>
                <w:color w:val="00FF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68,5 </w:t>
            </w:r>
            <w:r w:rsidRPr="00AE5ECE">
              <w:rPr>
                <w:rFonts w:ascii="Wingdings" w:hAnsi="Wingdings" w:cs="Wingdings"/>
                <w:color w:val="FF0000"/>
                <w:sz w:val="18"/>
                <w:szCs w:val="18"/>
                <w:lang w:eastAsia="nb-NO"/>
              </w:rPr>
              <w:t></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Karosseri/påbygg/…</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70,4 </w:t>
            </w:r>
            <w:r w:rsidRPr="00AE5ECE">
              <w:rPr>
                <w:rFonts w:ascii="Wingdings" w:hAnsi="Wingdings" w:cs="Wingdings"/>
                <w:color w:val="00FF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70,1 </w:t>
            </w:r>
            <w:r w:rsidRPr="00AE5ECE">
              <w:rPr>
                <w:rFonts w:ascii="Wingdings" w:hAnsi="Wingdings" w:cs="Wingdings"/>
                <w:color w:val="FF00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70,9 </w:t>
            </w:r>
            <w:r w:rsidRPr="00AE5ECE">
              <w:rPr>
                <w:rFonts w:ascii="Wingdings" w:hAnsi="Wingdings" w:cs="Wingdings"/>
                <w:color w:val="00FF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70,5 </w:t>
            </w:r>
            <w:r w:rsidRPr="00AE5ECE">
              <w:rPr>
                <w:rFonts w:ascii="Wingdings" w:hAnsi="Wingdings" w:cs="Wingdings"/>
                <w:color w:val="00FF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69,8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69,7 </w:t>
            </w:r>
            <w:r w:rsidRPr="00AE5ECE">
              <w:rPr>
                <w:rFonts w:ascii="Wingdings" w:hAnsi="Wingdings" w:cs="Wingdings"/>
                <w:color w:val="FF00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70,3 </w:t>
            </w:r>
            <w:r w:rsidRPr="00AE5ECE">
              <w:rPr>
                <w:rFonts w:ascii="Wingdings" w:hAnsi="Wingdings" w:cs="Wingdings"/>
                <w:color w:val="FF0000"/>
                <w:sz w:val="18"/>
                <w:szCs w:val="18"/>
                <w:lang w:eastAsia="nb-NO"/>
              </w:rPr>
              <w:t></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Annet utstyr</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92,1 </w:t>
            </w:r>
            <w:r w:rsidRPr="00AE5ECE">
              <w:rPr>
                <w:rFonts w:ascii="Wingdings" w:hAnsi="Wingdings" w:cs="Wingdings"/>
                <w:color w:val="00FF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92,0 </w:t>
            </w:r>
            <w:r w:rsidRPr="00AE5ECE">
              <w:rPr>
                <w:rFonts w:ascii="Wingdings" w:hAnsi="Wingdings" w:cs="Wingdings"/>
                <w:color w:val="00FF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91,4 </w:t>
            </w:r>
            <w:r w:rsidRPr="00AE5ECE">
              <w:rPr>
                <w:rFonts w:ascii="Wingdings" w:hAnsi="Wingdings" w:cs="Wingdings"/>
                <w:color w:val="00FF00"/>
                <w:sz w:val="18"/>
                <w:szCs w:val="18"/>
                <w:lang w:eastAsia="nb-NO"/>
              </w:rPr>
              <w:t></w:t>
            </w:r>
          </w:p>
        </w:tc>
        <w:tc>
          <w:tcPr>
            <w:tcW w:w="885" w:type="dxa"/>
            <w:tcBorders>
              <w:top w:val="single" w:sz="8" w:space="0" w:color="808080"/>
              <w:left w:val="nil"/>
              <w:bottom w:val="nil"/>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90,9 </w:t>
            </w:r>
            <w:r w:rsidRPr="00AE5ECE">
              <w:rPr>
                <w:rFonts w:ascii="Wingdings" w:hAnsi="Wingdings" w:cs="Wingdings"/>
                <w:color w:val="00FF00"/>
                <w:sz w:val="18"/>
                <w:szCs w:val="18"/>
                <w:lang w:eastAsia="nb-NO"/>
              </w:rPr>
              <w:t></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89,9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87,7 </w:t>
            </w:r>
            <w:r w:rsidRPr="00AE5ECE">
              <w:rPr>
                <w:rFonts w:ascii="Wingdings" w:hAnsi="Wingdings" w:cs="Wingdings"/>
                <w:color w:val="00FF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86,6 </w:t>
            </w:r>
            <w:r w:rsidRPr="00AE5ECE">
              <w:rPr>
                <w:rFonts w:ascii="Wingdings" w:hAnsi="Wingdings" w:cs="Wingdings"/>
                <w:color w:val="00FF00"/>
                <w:sz w:val="18"/>
                <w:szCs w:val="18"/>
                <w:lang w:eastAsia="nb-NO"/>
              </w:rPr>
              <w:t></w:t>
            </w:r>
            <w:r w:rsidRPr="00AE5ECE">
              <w:rPr>
                <w:rFonts w:ascii="Verdana" w:hAnsi="Verdana" w:cs="Verdana"/>
                <w:color w:val="0000FF"/>
                <w:sz w:val="18"/>
                <w:szCs w:val="18"/>
                <w:lang w:eastAsia="nb-NO"/>
              </w:rPr>
              <w:t xml:space="preserve"> </w:t>
            </w:r>
          </w:p>
        </w:tc>
      </w:tr>
      <w:tr w:rsidR="001C02F5" w:rsidRPr="00AE5ECE">
        <w:trPr>
          <w:trHeight w:val="98"/>
        </w:trPr>
        <w:tc>
          <w:tcPr>
            <w:tcW w:w="2455"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rPr>
                <w:rFonts w:ascii="Verdana" w:hAnsi="Verdana" w:cs="Verdana"/>
                <w:color w:val="0000FF"/>
                <w:sz w:val="18"/>
                <w:szCs w:val="18"/>
                <w:lang w:eastAsia="nb-NO"/>
              </w:rPr>
            </w:pPr>
            <w:r w:rsidRPr="00AE5ECE">
              <w:rPr>
                <w:rFonts w:ascii="Verdana" w:hAnsi="Verdana" w:cs="Verdana"/>
                <w:color w:val="0000FF"/>
                <w:sz w:val="18"/>
                <w:szCs w:val="18"/>
                <w:lang w:eastAsia="nb-NO"/>
              </w:rPr>
              <w:t>Miljø</w:t>
            </w:r>
          </w:p>
        </w:tc>
        <w:tc>
          <w:tcPr>
            <w:tcW w:w="885" w:type="dxa"/>
            <w:tcBorders>
              <w:top w:val="single" w:sz="8" w:space="0" w:color="808080"/>
              <w:left w:val="nil"/>
              <w:bottom w:val="single" w:sz="8" w:space="0" w:color="808080"/>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92,2 </w:t>
            </w:r>
            <w:r w:rsidRPr="00AE5ECE">
              <w:rPr>
                <w:rFonts w:ascii="Wingdings" w:hAnsi="Wingdings" w:cs="Wingdings"/>
                <w:color w:val="FF0000"/>
                <w:sz w:val="18"/>
                <w:szCs w:val="18"/>
                <w:lang w:eastAsia="nb-NO"/>
              </w:rPr>
              <w:t></w:t>
            </w:r>
          </w:p>
        </w:tc>
        <w:tc>
          <w:tcPr>
            <w:tcW w:w="814" w:type="dxa"/>
            <w:tcBorders>
              <w:top w:val="nil"/>
              <w:left w:val="single" w:sz="4" w:space="0" w:color="auto"/>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92,3 </w:t>
            </w:r>
            <w:r w:rsidRPr="00AE5ECE">
              <w:rPr>
                <w:rFonts w:ascii="Wingdings" w:hAnsi="Wingdings" w:cs="Wingdings"/>
                <w:color w:val="00FF00"/>
                <w:sz w:val="18"/>
                <w:szCs w:val="18"/>
                <w:lang w:eastAsia="nb-NO"/>
              </w:rPr>
              <w:t></w:t>
            </w:r>
          </w:p>
        </w:tc>
        <w:tc>
          <w:tcPr>
            <w:tcW w:w="814" w:type="dxa"/>
            <w:tcBorders>
              <w:top w:val="nil"/>
              <w:left w:val="nil"/>
              <w:bottom w:val="single" w:sz="4" w:space="0" w:color="auto"/>
              <w:right w:val="single" w:sz="4" w:space="0" w:color="auto"/>
            </w:tcBorders>
            <w:shd w:val="clear" w:color="000000" w:fill="FFFF99"/>
            <w:noWrap/>
            <w:vAlign w:val="bottom"/>
          </w:tcPr>
          <w:p w:rsidR="001C02F5" w:rsidRPr="00AE5ECE" w:rsidRDefault="001C02F5" w:rsidP="00475CFF">
            <w:pPr>
              <w:jc w:val="center"/>
              <w:rPr>
                <w:rFonts w:ascii="Verdana" w:hAnsi="Verdana" w:cs="Verdana"/>
                <w:color w:val="3333CC"/>
                <w:sz w:val="18"/>
                <w:szCs w:val="18"/>
                <w:lang w:eastAsia="nb-NO"/>
              </w:rPr>
            </w:pPr>
            <w:r w:rsidRPr="00AE5ECE">
              <w:rPr>
                <w:rFonts w:ascii="Verdana" w:hAnsi="Verdana" w:cs="Verdana"/>
                <w:color w:val="3333CC"/>
                <w:sz w:val="18"/>
                <w:szCs w:val="18"/>
                <w:lang w:eastAsia="nb-NO"/>
              </w:rPr>
              <w:t xml:space="preserve">92,2 </w:t>
            </w:r>
            <w:r w:rsidRPr="00AE5ECE">
              <w:rPr>
                <w:rFonts w:ascii="Wingdings" w:hAnsi="Wingdings" w:cs="Wingdings"/>
                <w:color w:val="FF0000"/>
                <w:sz w:val="18"/>
                <w:szCs w:val="18"/>
                <w:lang w:eastAsia="nb-NO"/>
              </w:rPr>
              <w:t></w:t>
            </w:r>
          </w:p>
        </w:tc>
        <w:tc>
          <w:tcPr>
            <w:tcW w:w="885" w:type="dxa"/>
            <w:tcBorders>
              <w:top w:val="single" w:sz="8" w:space="0" w:color="808080"/>
              <w:left w:val="nil"/>
              <w:bottom w:val="single" w:sz="8" w:space="0" w:color="808080"/>
              <w:right w:val="nil"/>
            </w:tcBorders>
            <w:shd w:val="clear" w:color="000000" w:fill="FFFF99"/>
            <w:noWrap/>
            <w:vAlign w:val="bottom"/>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92,4 -</w:t>
            </w:r>
          </w:p>
        </w:tc>
        <w:tc>
          <w:tcPr>
            <w:tcW w:w="891"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92,4 </w:t>
            </w:r>
            <w:r w:rsidRPr="00AE5ECE">
              <w:rPr>
                <w:rFonts w:ascii="Wingdings" w:hAnsi="Wingdings" w:cs="Wingdings"/>
                <w:color w:val="00FF00"/>
                <w:sz w:val="18"/>
                <w:szCs w:val="18"/>
                <w:lang w:eastAsia="nb-NO"/>
              </w:rPr>
              <w:t></w:t>
            </w:r>
          </w:p>
        </w:tc>
        <w:tc>
          <w:tcPr>
            <w:tcW w:w="1090" w:type="dxa"/>
            <w:tcBorders>
              <w:top w:val="nil"/>
              <w:left w:val="single" w:sz="8" w:space="0" w:color="808080"/>
              <w:bottom w:val="single" w:sz="8" w:space="0" w:color="808080"/>
              <w:right w:val="nil"/>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91,9 </w:t>
            </w:r>
            <w:r w:rsidRPr="00AE5ECE">
              <w:rPr>
                <w:rFonts w:ascii="Wingdings" w:hAnsi="Wingdings" w:cs="Wingdings"/>
                <w:color w:val="FF0000"/>
                <w:sz w:val="18"/>
                <w:szCs w:val="18"/>
                <w:lang w:eastAsia="nb-NO"/>
              </w:rPr>
              <w:t></w:t>
            </w:r>
          </w:p>
        </w:tc>
        <w:tc>
          <w:tcPr>
            <w:tcW w:w="1091" w:type="dxa"/>
            <w:tcBorders>
              <w:top w:val="nil"/>
              <w:left w:val="single" w:sz="8" w:space="0" w:color="808080"/>
              <w:bottom w:val="single" w:sz="8" w:space="0" w:color="808080"/>
              <w:right w:val="single" w:sz="8" w:space="0" w:color="808080"/>
            </w:tcBorders>
            <w:shd w:val="clear" w:color="000000" w:fill="FFFF99"/>
          </w:tcPr>
          <w:p w:rsidR="001C02F5" w:rsidRPr="00AE5ECE" w:rsidRDefault="001C02F5" w:rsidP="00475CFF">
            <w:pPr>
              <w:jc w:val="center"/>
              <w:rPr>
                <w:rFonts w:ascii="Verdana" w:hAnsi="Verdana" w:cs="Verdana"/>
                <w:color w:val="0000FF"/>
                <w:sz w:val="18"/>
                <w:szCs w:val="18"/>
                <w:lang w:eastAsia="nb-NO"/>
              </w:rPr>
            </w:pPr>
            <w:r w:rsidRPr="00AE5ECE">
              <w:rPr>
                <w:rFonts w:ascii="Verdana" w:hAnsi="Verdana" w:cs="Verdana"/>
                <w:color w:val="0000FF"/>
                <w:sz w:val="18"/>
                <w:szCs w:val="18"/>
                <w:lang w:eastAsia="nb-NO"/>
              </w:rPr>
              <w:t xml:space="preserve">92,4 </w:t>
            </w:r>
            <w:r w:rsidRPr="00AE5ECE">
              <w:rPr>
                <w:rFonts w:ascii="Wingdings" w:hAnsi="Wingdings" w:cs="Wingdings"/>
                <w:color w:val="FF0000"/>
                <w:sz w:val="18"/>
                <w:szCs w:val="18"/>
                <w:lang w:eastAsia="nb-NO"/>
              </w:rPr>
              <w:t></w:t>
            </w:r>
          </w:p>
        </w:tc>
      </w:tr>
    </w:tbl>
    <w:p w:rsidR="001C02F5" w:rsidRDefault="001C02F5" w:rsidP="006A2D72"/>
    <w:p w:rsidR="001C02F5" w:rsidRPr="00AE5ECE" w:rsidRDefault="001C02F5" w:rsidP="006A2D72"/>
    <w:p w:rsidR="001C02F5" w:rsidRPr="00EB2D59" w:rsidRDefault="001C02F5" w:rsidP="006A2D72"/>
    <w:p w:rsidR="001C02F5" w:rsidRDefault="001C02F5" w:rsidP="006A2D72"/>
    <w:p w:rsidR="001C02F5" w:rsidRPr="00B976E5" w:rsidRDefault="001C02F5" w:rsidP="006A2D72"/>
    <w:p w:rsidR="001C02F5" w:rsidRPr="00B976E5" w:rsidRDefault="001C02F5" w:rsidP="006A2D72"/>
    <w:p w:rsidR="001C02F5" w:rsidRDefault="001C02F5" w:rsidP="006A2D72"/>
    <w:p w:rsidR="001C02F5" w:rsidRDefault="001C02F5" w:rsidP="006A2D72">
      <w:pPr>
        <w:pStyle w:val="Caption"/>
        <w:keepNext/>
        <w:rPr>
          <w:rFonts w:ascii="Verdana" w:hAnsi="Verdana" w:cs="Verdana"/>
          <w:sz w:val="16"/>
          <w:szCs w:val="16"/>
        </w:rPr>
      </w:pPr>
    </w:p>
    <w:p w:rsidR="001C02F5" w:rsidRDefault="001C02F5" w:rsidP="006A2D72"/>
    <w:p w:rsidR="001C02F5" w:rsidRPr="0056570F" w:rsidRDefault="001C02F5" w:rsidP="006A2D72">
      <w:pPr>
        <w:pStyle w:val="Heading1"/>
      </w:pPr>
      <w:r w:rsidRPr="0056570F">
        <w:t>5.0</w:t>
      </w:r>
      <w:r w:rsidRPr="0056570F">
        <w:tab/>
        <w:t>Mål</w:t>
      </w:r>
    </w:p>
    <w:p w:rsidR="001C02F5" w:rsidRDefault="001C02F5" w:rsidP="006A2D72">
      <w:r>
        <w:t xml:space="preserve">For de tre kjøretøykategoriene er det fastsatt mål for andelen godkjente kjøretøy under de ulike hovedkontrollgruppene. Et godkjent kjøretøy er definert som et kjøretøy som ikke har feil av type 2 eller 3 ved den periodiske kontrollen. Måltallene for de tre kjøretøykategoriene, som er vist i tabell 9, har vært de samme siden denne grupperingen av kjøretøy ble innført i 2002. </w:t>
      </w:r>
    </w:p>
    <w:p w:rsidR="001C02F5" w:rsidRDefault="001C02F5" w:rsidP="006A2D72"/>
    <w:p w:rsidR="001C02F5" w:rsidRPr="00FB4F22" w:rsidRDefault="001C02F5" w:rsidP="006A2D72">
      <w:pPr>
        <w:pStyle w:val="Caption"/>
        <w:keepNext/>
        <w:rPr>
          <w:rFonts w:ascii="Verdana" w:hAnsi="Verdana" w:cs="Verdana"/>
          <w:sz w:val="16"/>
          <w:szCs w:val="16"/>
        </w:rPr>
      </w:pPr>
      <w:r w:rsidRPr="00FB4F22">
        <w:rPr>
          <w:rFonts w:ascii="Verdana" w:hAnsi="Verdana" w:cs="Verdana"/>
          <w:sz w:val="16"/>
          <w:szCs w:val="16"/>
        </w:rPr>
        <w:t xml:space="preserve">Tabell </w:t>
      </w:r>
      <w:r w:rsidRPr="00FB4F22">
        <w:rPr>
          <w:rFonts w:ascii="Verdana" w:hAnsi="Verdana" w:cs="Verdana"/>
          <w:sz w:val="16"/>
          <w:szCs w:val="16"/>
        </w:rPr>
        <w:fldChar w:fldCharType="begin"/>
      </w:r>
      <w:r w:rsidRPr="00FB4F22">
        <w:rPr>
          <w:rFonts w:ascii="Verdana" w:hAnsi="Verdana" w:cs="Verdana"/>
          <w:sz w:val="16"/>
          <w:szCs w:val="16"/>
        </w:rPr>
        <w:instrText xml:space="preserve"> SEQ Tabell \* ARABIC </w:instrText>
      </w:r>
      <w:r w:rsidRPr="00FB4F22">
        <w:rPr>
          <w:rFonts w:ascii="Verdana" w:hAnsi="Verdana" w:cs="Verdana"/>
          <w:sz w:val="16"/>
          <w:szCs w:val="16"/>
        </w:rPr>
        <w:fldChar w:fldCharType="separate"/>
      </w:r>
      <w:r>
        <w:rPr>
          <w:rFonts w:ascii="Verdana" w:hAnsi="Verdana" w:cs="Verdana"/>
          <w:noProof/>
          <w:sz w:val="16"/>
          <w:szCs w:val="16"/>
        </w:rPr>
        <w:t>9</w:t>
      </w:r>
      <w:r w:rsidRPr="00FB4F22">
        <w:rPr>
          <w:rFonts w:ascii="Verdana" w:hAnsi="Verdana" w:cs="Verdana"/>
          <w:sz w:val="16"/>
          <w:szCs w:val="16"/>
        </w:rPr>
        <w:fldChar w:fldCharType="end"/>
      </w:r>
      <w:r w:rsidRPr="00FB4F22">
        <w:rPr>
          <w:rFonts w:ascii="Verdana" w:hAnsi="Verdana" w:cs="Verdana"/>
          <w:sz w:val="16"/>
          <w:szCs w:val="16"/>
        </w:rPr>
        <w:t xml:space="preserve"> Måltall</w:t>
      </w:r>
    </w:p>
    <w:tbl>
      <w:tblPr>
        <w:tblW w:w="9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tblPr>
      <w:tblGrid>
        <w:gridCol w:w="2137"/>
        <w:gridCol w:w="2487"/>
        <w:gridCol w:w="2367"/>
        <w:gridCol w:w="2185"/>
      </w:tblGrid>
      <w:tr w:rsidR="001C02F5">
        <w:trPr>
          <w:trHeight w:val="308"/>
        </w:trPr>
        <w:tc>
          <w:tcPr>
            <w:tcW w:w="2137" w:type="dxa"/>
            <w:tcBorders>
              <w:top w:val="single" w:sz="6" w:space="0" w:color="808080"/>
              <w:left w:val="single" w:sz="6" w:space="0" w:color="808080"/>
              <w:bottom w:val="single" w:sz="6" w:space="0" w:color="808080"/>
              <w:right w:val="single" w:sz="6" w:space="0" w:color="808080"/>
            </w:tcBorders>
            <w:shd w:val="clear" w:color="auto" w:fill="800000"/>
            <w:vAlign w:val="bottom"/>
          </w:tcPr>
          <w:p w:rsidR="001C02F5" w:rsidRPr="005A2DC1" w:rsidRDefault="001C02F5" w:rsidP="00475CFF">
            <w:pPr>
              <w:pStyle w:val="Dokumenttekst"/>
              <w:keepNext/>
              <w:rPr>
                <w:rFonts w:ascii="Verdana" w:hAnsi="Verdana" w:cs="Verdana"/>
                <w:b/>
                <w:bCs/>
                <w:color w:val="FFFFFF"/>
                <w:sz w:val="18"/>
                <w:szCs w:val="18"/>
              </w:rPr>
            </w:pPr>
            <w:r w:rsidRPr="005A2DC1">
              <w:rPr>
                <w:rFonts w:ascii="Verdana" w:hAnsi="Verdana" w:cs="Verdana"/>
                <w:b/>
                <w:bCs/>
                <w:color w:val="FFFFFF"/>
                <w:sz w:val="18"/>
                <w:szCs w:val="18"/>
              </w:rPr>
              <w:t>Hovedgruppe</w:t>
            </w:r>
          </w:p>
        </w:tc>
        <w:tc>
          <w:tcPr>
            <w:tcW w:w="2487" w:type="dxa"/>
            <w:tcBorders>
              <w:top w:val="single" w:sz="6" w:space="0" w:color="808080"/>
              <w:left w:val="single" w:sz="6" w:space="0" w:color="808080"/>
              <w:bottom w:val="single" w:sz="6" w:space="0" w:color="808080"/>
              <w:right w:val="single" w:sz="6" w:space="0" w:color="808080"/>
            </w:tcBorders>
            <w:shd w:val="clear" w:color="auto" w:fill="800000"/>
          </w:tcPr>
          <w:p w:rsidR="001C02F5" w:rsidRDefault="001C02F5" w:rsidP="00475CFF">
            <w:pPr>
              <w:pStyle w:val="Dokumenttekst"/>
              <w:keepNext/>
              <w:jc w:val="center"/>
              <w:rPr>
                <w:rFonts w:ascii="Verdana" w:hAnsi="Verdana" w:cs="Verdana"/>
                <w:b/>
                <w:bCs/>
                <w:color w:val="FFFFFF"/>
                <w:sz w:val="18"/>
                <w:szCs w:val="18"/>
              </w:rPr>
            </w:pPr>
            <w:r>
              <w:rPr>
                <w:rFonts w:ascii="Verdana" w:hAnsi="Verdana" w:cs="Verdana"/>
                <w:b/>
                <w:bCs/>
                <w:color w:val="FFFFFF"/>
                <w:sz w:val="18"/>
                <w:szCs w:val="18"/>
              </w:rPr>
              <w:t>Lette</w:t>
            </w:r>
            <w:r>
              <w:rPr>
                <w:rFonts w:ascii="Verdana" w:hAnsi="Verdana" w:cs="Verdana"/>
                <w:b/>
                <w:bCs/>
                <w:color w:val="FFFFFF"/>
                <w:sz w:val="18"/>
                <w:szCs w:val="18"/>
              </w:rPr>
              <w:br/>
              <w:t>minimum godkjent</w:t>
            </w:r>
          </w:p>
        </w:tc>
        <w:tc>
          <w:tcPr>
            <w:tcW w:w="2367" w:type="dxa"/>
            <w:tcBorders>
              <w:top w:val="single" w:sz="6" w:space="0" w:color="808080"/>
              <w:left w:val="single" w:sz="6" w:space="0" w:color="808080"/>
              <w:bottom w:val="single" w:sz="6" w:space="0" w:color="808080"/>
              <w:right w:val="single" w:sz="6" w:space="0" w:color="808080"/>
            </w:tcBorders>
            <w:shd w:val="clear" w:color="auto" w:fill="800000"/>
          </w:tcPr>
          <w:p w:rsidR="001C02F5" w:rsidRDefault="001C02F5" w:rsidP="00475CFF">
            <w:pPr>
              <w:pStyle w:val="Dokumenttekst"/>
              <w:keepNext/>
              <w:jc w:val="center"/>
              <w:rPr>
                <w:rFonts w:ascii="Verdana" w:hAnsi="Verdana" w:cs="Verdana"/>
                <w:b/>
                <w:bCs/>
                <w:color w:val="FFFFFF"/>
                <w:sz w:val="18"/>
                <w:szCs w:val="18"/>
              </w:rPr>
            </w:pPr>
            <w:r>
              <w:rPr>
                <w:rFonts w:ascii="Verdana" w:hAnsi="Verdana" w:cs="Verdana"/>
                <w:b/>
                <w:bCs/>
                <w:color w:val="FFFFFF"/>
                <w:sz w:val="18"/>
                <w:szCs w:val="18"/>
              </w:rPr>
              <w:t>Mellomtunge</w:t>
            </w:r>
            <w:r>
              <w:rPr>
                <w:rFonts w:ascii="Verdana" w:hAnsi="Verdana" w:cs="Verdana"/>
                <w:b/>
                <w:bCs/>
                <w:color w:val="FFFFFF"/>
                <w:sz w:val="18"/>
                <w:szCs w:val="18"/>
              </w:rPr>
              <w:br/>
              <w:t>minimum godkjent</w:t>
            </w:r>
          </w:p>
        </w:tc>
        <w:tc>
          <w:tcPr>
            <w:tcW w:w="2185" w:type="dxa"/>
            <w:tcBorders>
              <w:top w:val="single" w:sz="6" w:space="0" w:color="808080"/>
              <w:left w:val="single" w:sz="6" w:space="0" w:color="808080"/>
              <w:bottom w:val="single" w:sz="6" w:space="0" w:color="808080"/>
              <w:right w:val="single" w:sz="6" w:space="0" w:color="808080"/>
            </w:tcBorders>
            <w:shd w:val="clear" w:color="auto" w:fill="800000"/>
          </w:tcPr>
          <w:p w:rsidR="001C02F5" w:rsidRDefault="001C02F5" w:rsidP="00475CFF">
            <w:pPr>
              <w:pStyle w:val="Dokumenttekst"/>
              <w:keepNext/>
              <w:jc w:val="center"/>
              <w:rPr>
                <w:rFonts w:ascii="Verdana" w:hAnsi="Verdana" w:cs="Verdana"/>
                <w:b/>
                <w:bCs/>
                <w:color w:val="FFFFFF"/>
                <w:sz w:val="18"/>
                <w:szCs w:val="18"/>
              </w:rPr>
            </w:pPr>
            <w:r>
              <w:rPr>
                <w:rFonts w:ascii="Verdana" w:hAnsi="Verdana" w:cs="Verdana"/>
                <w:b/>
                <w:bCs/>
                <w:color w:val="FFFFFF"/>
                <w:sz w:val="18"/>
                <w:szCs w:val="18"/>
              </w:rPr>
              <w:t>Tunge</w:t>
            </w:r>
            <w:r>
              <w:rPr>
                <w:rFonts w:ascii="Verdana" w:hAnsi="Verdana" w:cs="Verdana"/>
                <w:b/>
                <w:bCs/>
                <w:color w:val="FFFFFF"/>
                <w:sz w:val="18"/>
                <w:szCs w:val="18"/>
              </w:rPr>
              <w:br/>
              <w:t>minimum godkjent</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Bremser</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78 %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74 %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70 %</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Styring</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92 %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92 %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92 %</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Sikt</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98 %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98 %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98 %</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Lys/refleks/el.utstyr</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90 %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90 %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90 %</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Hjul/hjuloppheng</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80 %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80 %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80 %</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Karosseri/påbygg/…</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94 %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86 %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84 %</w:t>
            </w:r>
          </w:p>
        </w:tc>
      </w:tr>
      <w:tr w:rsidR="001C02F5">
        <w:trPr>
          <w:trHeight w:val="22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Annet utstyr</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99 %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95 %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90 %</w:t>
            </w:r>
          </w:p>
        </w:tc>
      </w:tr>
      <w:tr w:rsidR="001C02F5">
        <w:trPr>
          <w:trHeight w:val="234"/>
        </w:trPr>
        <w:tc>
          <w:tcPr>
            <w:tcW w:w="213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rPr>
                <w:rFonts w:ascii="Verdana" w:hAnsi="Verdana" w:cs="Verdana"/>
                <w:color w:val="0000FF"/>
                <w:sz w:val="18"/>
                <w:szCs w:val="18"/>
              </w:rPr>
            </w:pPr>
            <w:r>
              <w:rPr>
                <w:rFonts w:ascii="Verdana" w:hAnsi="Verdana" w:cs="Verdana"/>
                <w:color w:val="0000FF"/>
                <w:sz w:val="18"/>
                <w:szCs w:val="18"/>
              </w:rPr>
              <w:t>Miljø</w:t>
            </w:r>
          </w:p>
        </w:tc>
        <w:tc>
          <w:tcPr>
            <w:tcW w:w="248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92 %</w:t>
            </w:r>
          </w:p>
        </w:tc>
        <w:tc>
          <w:tcPr>
            <w:tcW w:w="2367"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98 %</w:t>
            </w:r>
          </w:p>
        </w:tc>
        <w:tc>
          <w:tcPr>
            <w:tcW w:w="2185" w:type="dxa"/>
            <w:tcBorders>
              <w:top w:val="single" w:sz="6" w:space="0" w:color="808080"/>
              <w:left w:val="single" w:sz="6" w:space="0" w:color="808080"/>
              <w:bottom w:val="single" w:sz="6" w:space="0" w:color="808080"/>
              <w:right w:val="single" w:sz="6" w:space="0" w:color="808080"/>
            </w:tcBorders>
            <w:shd w:val="clear" w:color="auto" w:fill="FFFF99"/>
            <w:vAlign w:val="center"/>
          </w:tcPr>
          <w:p w:rsidR="001C02F5" w:rsidRDefault="001C02F5" w:rsidP="00475CFF">
            <w:pPr>
              <w:pStyle w:val="Dokumenttekst"/>
              <w:keepNext/>
              <w:jc w:val="center"/>
              <w:rPr>
                <w:rFonts w:ascii="Verdana" w:hAnsi="Verdana" w:cs="Verdana"/>
                <w:color w:val="0000FF"/>
                <w:sz w:val="18"/>
                <w:szCs w:val="18"/>
              </w:rPr>
            </w:pPr>
            <w:r>
              <w:rPr>
                <w:rFonts w:ascii="Verdana" w:hAnsi="Verdana" w:cs="Verdana"/>
                <w:color w:val="0000FF"/>
                <w:sz w:val="18"/>
                <w:szCs w:val="18"/>
              </w:rPr>
              <w:t>98 %</w:t>
            </w:r>
          </w:p>
        </w:tc>
      </w:tr>
    </w:tbl>
    <w:p w:rsidR="001C02F5" w:rsidRDefault="001C02F5" w:rsidP="006A2D72"/>
    <w:p w:rsidR="001C02F5" w:rsidRDefault="001C02F5" w:rsidP="006A2D72"/>
    <w:p w:rsidR="001C02F5" w:rsidRPr="00765139" w:rsidRDefault="001C02F5" w:rsidP="006A2D72">
      <w:pPr>
        <w:pStyle w:val="Heading1"/>
      </w:pPr>
      <w:r>
        <w:br w:type="page"/>
        <w:t>6.0</w:t>
      </w:r>
      <w:r>
        <w:tab/>
      </w:r>
      <w:r w:rsidRPr="00765139">
        <w:t>Måloppnåelse</w:t>
      </w:r>
    </w:p>
    <w:p w:rsidR="001C02F5" w:rsidRDefault="001C02F5" w:rsidP="006A2D72">
      <w:pPr>
        <w:pStyle w:val="Heading2"/>
      </w:pPr>
      <w:r>
        <w:t>6.1</w:t>
      </w:r>
      <w:r>
        <w:tab/>
        <w:t>Grafisk framstilling</w:t>
      </w:r>
    </w:p>
    <w:p w:rsidR="001C02F5" w:rsidRPr="000375CC" w:rsidRDefault="001C02F5" w:rsidP="006A2D72">
      <w:r>
        <w:t xml:space="preserve">I de etterfølgende figurene er resultatene for 2012 sammenlignet med måltallene ved at de er implementert i søylediagram for lette, mellomtunge og tunge kjøretøy. Dette er gjort for å illustrere i hvor stor grad målene ble nådd i året som gikk. </w:t>
      </w:r>
    </w:p>
    <w:p w:rsidR="001C02F5" w:rsidRDefault="001C02F5" w:rsidP="006A2D72"/>
    <w:p w:rsidR="001C02F5" w:rsidRPr="00765139" w:rsidRDefault="001C02F5" w:rsidP="006A2D72">
      <w:pPr>
        <w:pStyle w:val="Heading2"/>
      </w:pPr>
      <w:r>
        <w:t>6.2</w:t>
      </w:r>
      <w:r>
        <w:tab/>
      </w:r>
      <w:r w:rsidRPr="00765139">
        <w:t>Lette kjøretøy</w:t>
      </w:r>
    </w:p>
    <w:p w:rsidR="001C02F5" w:rsidRDefault="001C02F5" w:rsidP="006A2D72">
      <w:fldSimple w:instr=" REF _Ref223427841 \h  \* MERGEFORMAT ">
        <w:r w:rsidRPr="00A2171A">
          <w:t xml:space="preserve">Figur </w:t>
        </w:r>
        <w:r w:rsidRPr="00A2171A">
          <w:rPr>
            <w:noProof/>
          </w:rPr>
          <w:t>2</w:t>
        </w:r>
      </w:fldSimple>
      <w:r>
        <w:t xml:space="preserve"> </w:t>
      </w:r>
      <w:r w:rsidRPr="00614B62">
        <w:t>vise</w:t>
      </w:r>
      <w:r>
        <w:t>r at målene for lette kjøretøy</w:t>
      </w:r>
      <w:r w:rsidRPr="00614B62">
        <w:t xml:space="preserve"> ble nådd for </w:t>
      </w:r>
      <w:r>
        <w:t xml:space="preserve">to </w:t>
      </w:r>
      <w:r w:rsidRPr="00614B62">
        <w:t xml:space="preserve">av hovedgruppene. </w:t>
      </w:r>
      <w:r>
        <w:t>For kontrollgruppen m</w:t>
      </w:r>
      <w:r w:rsidRPr="00614B62">
        <w:t>iljø</w:t>
      </w:r>
      <w:r>
        <w:t xml:space="preserve"> ble det fastsatte måltallet passert med 1,4 prosentpoeng, og for gruppen karosseri/påbygg ble måltallet passert med 0,2 prosentpoeng. </w:t>
      </w:r>
    </w:p>
    <w:p w:rsidR="001C02F5" w:rsidRDefault="001C02F5" w:rsidP="006A2D72"/>
    <w:p w:rsidR="001C02F5" w:rsidRDefault="001C02F5" w:rsidP="006A2D72">
      <w:r>
        <w:t xml:space="preserve">Størst avstand mellom resultat og mål var det for bremseanlegg som hadde et avvik på 9,8 prosentpoeng, 1,0 prosentpoeng lenger fra måltallet enn i 2011. Andre grupper med store avvik var lys/refleks/el. utstyr hvor godkjenningsandelen var 84,0 % og måltallet 90,0 %, og aksler/fjærer/hjul hvor resultatet var 74,3 % og målet 80,0 %. </w:t>
      </w:r>
    </w:p>
    <w:p w:rsidR="001C02F5" w:rsidRDefault="001C02F5" w:rsidP="006A2D72"/>
    <w:p w:rsidR="001C02F5" w:rsidRDefault="001C02F5" w:rsidP="006A2D72">
      <w:r>
        <w:t xml:space="preserve">De øvrige kontrollgruppene kommer nært opptil måltallene, vi finner her avstander mellom resultat og måltall på mellom 0,3 og 1,3 prosentpoeng. </w:t>
      </w:r>
    </w:p>
    <w:p w:rsidR="001C02F5" w:rsidRDefault="001C02F5" w:rsidP="006A2D72"/>
    <w:p w:rsidR="001C02F5" w:rsidRDefault="001C02F5" w:rsidP="006A2D72">
      <w:pPr>
        <w:jc w:val="center"/>
      </w:pPr>
      <w:r>
        <w:rPr>
          <w:noProof/>
          <w:lang w:eastAsia="nb-NO"/>
        </w:rPr>
        <w:pict>
          <v:shape id="Bilde 16" o:spid="_x0000_i1028" type="#_x0000_t75" style="width:402pt;height:229.5pt;visibility:visible">
            <v:imagedata r:id="rId8" o:title=""/>
            <o:lock v:ext="edit" aspectratio="f"/>
          </v:shape>
        </w:pict>
      </w:r>
    </w:p>
    <w:p w:rsidR="001C02F5" w:rsidRPr="008A6D00" w:rsidRDefault="001C02F5" w:rsidP="006A2D72">
      <w:pPr>
        <w:pStyle w:val="Caption"/>
        <w:jc w:val="center"/>
        <w:rPr>
          <w:rFonts w:ascii="Verdana" w:hAnsi="Verdana" w:cs="Verdana"/>
          <w:sz w:val="16"/>
          <w:szCs w:val="16"/>
        </w:rPr>
      </w:pPr>
      <w:bookmarkStart w:id="21" w:name="_Ref223427841"/>
      <w:r w:rsidRPr="008A6D00">
        <w:rPr>
          <w:rFonts w:ascii="Verdana" w:hAnsi="Verdana" w:cs="Verdana"/>
          <w:sz w:val="16"/>
          <w:szCs w:val="16"/>
        </w:rPr>
        <w:t xml:space="preserve">Figur </w:t>
      </w:r>
      <w:r w:rsidRPr="008A6D00">
        <w:rPr>
          <w:rFonts w:ascii="Verdana" w:hAnsi="Verdana" w:cs="Verdana"/>
          <w:sz w:val="16"/>
          <w:szCs w:val="16"/>
        </w:rPr>
        <w:fldChar w:fldCharType="begin"/>
      </w:r>
      <w:r w:rsidRPr="008A6D00">
        <w:rPr>
          <w:rFonts w:ascii="Verdana" w:hAnsi="Verdana" w:cs="Verdana"/>
          <w:sz w:val="16"/>
          <w:szCs w:val="16"/>
        </w:rPr>
        <w:instrText xml:space="preserve"> SEQ Figur \* ARABIC </w:instrText>
      </w:r>
      <w:r w:rsidRPr="008A6D00">
        <w:rPr>
          <w:rFonts w:ascii="Verdana" w:hAnsi="Verdana" w:cs="Verdana"/>
          <w:sz w:val="16"/>
          <w:szCs w:val="16"/>
        </w:rPr>
        <w:fldChar w:fldCharType="separate"/>
      </w:r>
      <w:r>
        <w:rPr>
          <w:rFonts w:ascii="Verdana" w:hAnsi="Verdana" w:cs="Verdana"/>
          <w:noProof/>
          <w:sz w:val="16"/>
          <w:szCs w:val="16"/>
        </w:rPr>
        <w:t>2</w:t>
      </w:r>
      <w:r w:rsidRPr="008A6D00">
        <w:rPr>
          <w:rFonts w:ascii="Verdana" w:hAnsi="Verdana" w:cs="Verdana"/>
          <w:sz w:val="16"/>
          <w:szCs w:val="16"/>
        </w:rPr>
        <w:fldChar w:fldCharType="end"/>
      </w:r>
      <w:bookmarkEnd w:id="21"/>
      <w:r w:rsidRPr="008A6D00">
        <w:rPr>
          <w:rFonts w:ascii="Verdana" w:hAnsi="Verdana" w:cs="Verdana"/>
          <w:sz w:val="16"/>
          <w:szCs w:val="16"/>
        </w:rPr>
        <w:t xml:space="preserve"> Måloppnåelse for lette kjøretøy</w:t>
      </w:r>
    </w:p>
    <w:p w:rsidR="001C02F5" w:rsidRDefault="001C02F5" w:rsidP="006A2D72"/>
    <w:p w:rsidR="001C02F5" w:rsidRPr="00765139" w:rsidRDefault="001C02F5" w:rsidP="006A2D72">
      <w:pPr>
        <w:pStyle w:val="Heading2"/>
      </w:pPr>
      <w:r>
        <w:br w:type="page"/>
        <w:t>6.3</w:t>
      </w:r>
      <w:r>
        <w:tab/>
      </w:r>
      <w:r w:rsidRPr="00765139">
        <w:t>Mellomtunge kjøretøy</w:t>
      </w:r>
    </w:p>
    <w:p w:rsidR="001C02F5" w:rsidRDefault="001C02F5" w:rsidP="006A2D72">
      <w:r>
        <w:t xml:space="preserve">For de mellomtunge kjøretøyene var det én hovedgruppe som passerte det fastsatte måltallet. Gruppen karosseri/påbygg passerte måltallet med 2,3 prosentpoeng, resultatet var her 88,3 %. </w:t>
      </w:r>
    </w:p>
    <w:p w:rsidR="001C02F5" w:rsidRDefault="001C02F5" w:rsidP="006A2D72"/>
    <w:p w:rsidR="001C02F5" w:rsidRDefault="001C02F5" w:rsidP="006A2D72">
      <w:r>
        <w:t xml:space="preserve">De resterende hovedgruppene av kontrollpunkter fikk alle resultater som var lavere enn tilstandsmålene. Størst var avviket for lys/refleks/el. utstyr hvor det skilte 12,8 prosentpoeng mellom resultatet på 77,2 % og tilstandsmålet på 90,0 %. For hovedgruppene bremseanlegg og miljø var avviket mindre, men fremdeles et stykke fra ønsket mål, henholdsvis 10,2 og 4,4 prosentpoeng. For de øvrige hovedgruppene varierer avvikene mellom 1,2 og 3,4 prosentpoeng. </w:t>
      </w:r>
    </w:p>
    <w:p w:rsidR="001C02F5" w:rsidRDefault="001C02F5" w:rsidP="006A2D72"/>
    <w:p w:rsidR="001C02F5" w:rsidRDefault="001C02F5" w:rsidP="006A2D72">
      <w:r>
        <w:t xml:space="preserve">Forholdet mellom resultat og måltall for de ulike gruppene er illustrert i figur 3. </w:t>
      </w:r>
    </w:p>
    <w:p w:rsidR="001C02F5" w:rsidRDefault="001C02F5" w:rsidP="006A2D72">
      <w:pPr>
        <w:tabs>
          <w:tab w:val="left" w:pos="2544"/>
        </w:tabs>
      </w:pPr>
      <w:r>
        <w:tab/>
      </w:r>
    </w:p>
    <w:p w:rsidR="001C02F5" w:rsidRPr="00506EB6" w:rsidRDefault="001C02F5" w:rsidP="006A2D72">
      <w:pPr>
        <w:tabs>
          <w:tab w:val="left" w:pos="2544"/>
        </w:tabs>
        <w:jc w:val="center"/>
      </w:pPr>
      <w:r>
        <w:rPr>
          <w:noProof/>
          <w:lang w:eastAsia="nb-NO"/>
        </w:rPr>
        <w:pict>
          <v:shape id="Bilde 17" o:spid="_x0000_i1029" type="#_x0000_t75" style="width:403.5pt;height:228.75pt;visibility:visible">
            <v:imagedata r:id="rId9" o:title=""/>
            <o:lock v:ext="edit" aspectratio="f"/>
          </v:shape>
        </w:pict>
      </w:r>
    </w:p>
    <w:p w:rsidR="001C02F5" w:rsidRPr="008A6D00" w:rsidRDefault="001C02F5" w:rsidP="006A2D72">
      <w:pPr>
        <w:pStyle w:val="Caption"/>
        <w:jc w:val="center"/>
        <w:rPr>
          <w:rFonts w:ascii="Verdana" w:hAnsi="Verdana" w:cs="Verdana"/>
          <w:sz w:val="16"/>
          <w:szCs w:val="16"/>
        </w:rPr>
      </w:pPr>
      <w:r w:rsidRPr="008A6D00">
        <w:rPr>
          <w:rFonts w:ascii="Verdana" w:hAnsi="Verdana" w:cs="Verdana"/>
          <w:sz w:val="16"/>
          <w:szCs w:val="16"/>
        </w:rPr>
        <w:t xml:space="preserve">Figur </w:t>
      </w:r>
      <w:r w:rsidRPr="008A6D00">
        <w:rPr>
          <w:rFonts w:ascii="Verdana" w:hAnsi="Verdana" w:cs="Verdana"/>
          <w:sz w:val="16"/>
          <w:szCs w:val="16"/>
        </w:rPr>
        <w:fldChar w:fldCharType="begin"/>
      </w:r>
      <w:r w:rsidRPr="008A6D00">
        <w:rPr>
          <w:rFonts w:ascii="Verdana" w:hAnsi="Verdana" w:cs="Verdana"/>
          <w:sz w:val="16"/>
          <w:szCs w:val="16"/>
        </w:rPr>
        <w:instrText xml:space="preserve"> SEQ Figur \* ARABIC </w:instrText>
      </w:r>
      <w:r w:rsidRPr="008A6D00">
        <w:rPr>
          <w:rFonts w:ascii="Verdana" w:hAnsi="Verdana" w:cs="Verdana"/>
          <w:sz w:val="16"/>
          <w:szCs w:val="16"/>
        </w:rPr>
        <w:fldChar w:fldCharType="separate"/>
      </w:r>
      <w:r>
        <w:rPr>
          <w:rFonts w:ascii="Verdana" w:hAnsi="Verdana" w:cs="Verdana"/>
          <w:noProof/>
          <w:sz w:val="16"/>
          <w:szCs w:val="16"/>
        </w:rPr>
        <w:t>3</w:t>
      </w:r>
      <w:r w:rsidRPr="008A6D00">
        <w:rPr>
          <w:rFonts w:ascii="Verdana" w:hAnsi="Verdana" w:cs="Verdana"/>
          <w:sz w:val="16"/>
          <w:szCs w:val="16"/>
        </w:rPr>
        <w:fldChar w:fldCharType="end"/>
      </w:r>
      <w:r w:rsidRPr="008A6D00">
        <w:rPr>
          <w:rFonts w:ascii="Verdana" w:hAnsi="Verdana" w:cs="Verdana"/>
          <w:sz w:val="16"/>
          <w:szCs w:val="16"/>
        </w:rPr>
        <w:t xml:space="preserve"> Måloppnåelse for mellomtunge kjøretøy</w:t>
      </w:r>
    </w:p>
    <w:p w:rsidR="001C02F5" w:rsidRDefault="001C02F5" w:rsidP="006A2D72"/>
    <w:p w:rsidR="001C02F5" w:rsidRPr="00765139" w:rsidRDefault="001C02F5" w:rsidP="006A2D72">
      <w:pPr>
        <w:pStyle w:val="Heading2"/>
      </w:pPr>
      <w:r>
        <w:br w:type="page"/>
        <w:t>6.4</w:t>
      </w:r>
      <w:r>
        <w:tab/>
      </w:r>
      <w:r w:rsidRPr="00765139">
        <w:t>Tunge kjøretøy</w:t>
      </w:r>
    </w:p>
    <w:p w:rsidR="001C02F5" w:rsidRDefault="001C02F5" w:rsidP="006A2D72">
      <w:r>
        <w:t xml:space="preserve">For de fleste kontrollhovedgruppene for tunge kjøretøy var resultatene for 2012 et godt stykke unna de oppsatte måltallene. Unntakene var kontrollpunkt 2 – styring hvor resultatet passerte tilstandsmålet med 0,3 prosentpoeng og kontrollpunkt 7 – annet utstyr som passerte med 2,1 prosentpoeng. </w:t>
      </w:r>
    </w:p>
    <w:p w:rsidR="001C02F5" w:rsidRDefault="001C02F5" w:rsidP="006A2D72"/>
    <w:p w:rsidR="001C02F5" w:rsidRDefault="001C02F5" w:rsidP="006A2D72">
      <w:r>
        <w:t>Størst avstand mellom resultat og måltall finner vi i gruppen lys/refleks/el.utstyr med 15,6 prosentpoeng tett etterfulgt av hovedgruppene bremseanlegg og karosseri/påbygg med avvik på henholdsvis 14,6 og 13,6 prosentpoeng. For de øvrige hovedgruppene varierer avvikene mellom 3,9 og 8,7 prosentpoeng.</w:t>
      </w:r>
    </w:p>
    <w:p w:rsidR="001C02F5" w:rsidRDefault="001C02F5" w:rsidP="006A2D72"/>
    <w:p w:rsidR="001C02F5" w:rsidRDefault="001C02F5" w:rsidP="006A2D72">
      <w:r>
        <w:t xml:space="preserve">Figur 4 illustrerer måloppnåelsen for tunge kjøretøy. </w:t>
      </w:r>
    </w:p>
    <w:p w:rsidR="001C02F5" w:rsidRDefault="001C02F5" w:rsidP="006A2D72"/>
    <w:p w:rsidR="001C02F5" w:rsidRPr="00506EB6" w:rsidRDefault="001C02F5" w:rsidP="006A2D72">
      <w:pPr>
        <w:jc w:val="center"/>
      </w:pPr>
      <w:r>
        <w:rPr>
          <w:noProof/>
          <w:lang w:eastAsia="nb-NO"/>
        </w:rPr>
        <w:pict>
          <v:shape id="Bilde 18" o:spid="_x0000_i1030" type="#_x0000_t75" style="width:404.25pt;height:231.75pt;visibility:visible">
            <v:imagedata r:id="rId10" o:title=""/>
            <o:lock v:ext="edit" aspectratio="f"/>
          </v:shape>
        </w:pict>
      </w:r>
    </w:p>
    <w:p w:rsidR="001C02F5" w:rsidRPr="000375CC" w:rsidRDefault="001C02F5" w:rsidP="006A2D72">
      <w:pPr>
        <w:pStyle w:val="Caption"/>
        <w:jc w:val="center"/>
        <w:rPr>
          <w:rFonts w:ascii="Verdana" w:hAnsi="Verdana" w:cs="Verdana"/>
          <w:sz w:val="16"/>
          <w:szCs w:val="16"/>
        </w:rPr>
      </w:pPr>
      <w:bookmarkStart w:id="22" w:name="_Ref126571943"/>
      <w:r w:rsidRPr="000375CC">
        <w:rPr>
          <w:rFonts w:ascii="Verdana" w:hAnsi="Verdana" w:cs="Verdana"/>
          <w:sz w:val="16"/>
          <w:szCs w:val="16"/>
        </w:rPr>
        <w:t xml:space="preserve">Figur </w:t>
      </w:r>
      <w:r w:rsidRPr="000375CC">
        <w:rPr>
          <w:rFonts w:ascii="Verdana" w:hAnsi="Verdana" w:cs="Verdana"/>
          <w:sz w:val="16"/>
          <w:szCs w:val="16"/>
        </w:rPr>
        <w:fldChar w:fldCharType="begin"/>
      </w:r>
      <w:r w:rsidRPr="000375CC">
        <w:rPr>
          <w:rFonts w:ascii="Verdana" w:hAnsi="Verdana" w:cs="Verdana"/>
          <w:sz w:val="16"/>
          <w:szCs w:val="16"/>
        </w:rPr>
        <w:instrText xml:space="preserve"> SEQ Figur \* ARABIC </w:instrText>
      </w:r>
      <w:r w:rsidRPr="000375CC">
        <w:rPr>
          <w:rFonts w:ascii="Verdana" w:hAnsi="Verdana" w:cs="Verdana"/>
          <w:sz w:val="16"/>
          <w:szCs w:val="16"/>
        </w:rPr>
        <w:fldChar w:fldCharType="separate"/>
      </w:r>
      <w:r>
        <w:rPr>
          <w:rFonts w:ascii="Verdana" w:hAnsi="Verdana" w:cs="Verdana"/>
          <w:noProof/>
          <w:sz w:val="16"/>
          <w:szCs w:val="16"/>
        </w:rPr>
        <w:t>4</w:t>
      </w:r>
      <w:r w:rsidRPr="000375CC">
        <w:rPr>
          <w:rFonts w:ascii="Verdana" w:hAnsi="Verdana" w:cs="Verdana"/>
          <w:sz w:val="16"/>
          <w:szCs w:val="16"/>
        </w:rPr>
        <w:fldChar w:fldCharType="end"/>
      </w:r>
      <w:bookmarkEnd w:id="22"/>
      <w:r w:rsidRPr="000375CC">
        <w:rPr>
          <w:rFonts w:ascii="Verdana" w:hAnsi="Verdana" w:cs="Verdana"/>
          <w:sz w:val="16"/>
          <w:szCs w:val="16"/>
        </w:rPr>
        <w:t xml:space="preserve"> Måloppnåelse for tunge kjøretøy</w:t>
      </w:r>
    </w:p>
    <w:p w:rsidR="001C02F5" w:rsidRDefault="001C02F5" w:rsidP="006A2D72"/>
    <w:p w:rsidR="001C02F5" w:rsidRPr="000375CC" w:rsidRDefault="001C02F5" w:rsidP="006A2D72">
      <w:pPr>
        <w:pStyle w:val="Heading1"/>
        <w:rPr>
          <w:rFonts w:ascii="Verdana" w:hAnsi="Verdana" w:cs="Verdana"/>
          <w:sz w:val="16"/>
          <w:szCs w:val="16"/>
        </w:rPr>
      </w:pPr>
      <w:r>
        <w:br w:type="page"/>
        <w:t>7.0</w:t>
      </w:r>
      <w:r>
        <w:tab/>
      </w:r>
      <w:r w:rsidRPr="00765139">
        <w:t>Sluttkommentar</w:t>
      </w:r>
    </w:p>
    <w:p w:rsidR="001C02F5" w:rsidRDefault="001C02F5" w:rsidP="006A2D72">
      <w:r>
        <w:t>Tilstandsundersøkelsen for 2012 viser at det har vært en noe variert utvikling i godkjenningsandelene. Dette er illustrert med grønne og røde piler i tabellene 4, 6 og 8. Totalt hadde 6 av kontrollgruppene fremgang i 2012, 15 grupper hadde nedgang i godkjenningsandel og 3 grupper oppnådde samme nivå som i 2011.</w:t>
      </w:r>
    </w:p>
    <w:p w:rsidR="001C02F5" w:rsidRDefault="001C02F5" w:rsidP="006A2D72"/>
    <w:p w:rsidR="001C02F5" w:rsidRDefault="001C02F5" w:rsidP="006A2D72">
      <w:r>
        <w:t>For lette kjøretøy har 1 av kontrollgruppene bedre godkjenningsandeler enn i 2011, mens 4 har lavere. Sett over tid er bremser det kontrollpunktet som har hatt størst tilbakegang med en godkjenningsandel på 68,2 % i 2012 mot 73,5 % i 2002. I motsatt ende av skalaen finner vi hovedgruppen karosseri/påbygg som har økt sin godkjenningsandel med 5,0 prosentpoeng siden 2002. Hovedgruppene karosseri/påbygg og miljø passerte i 2011 måltallene som er satt for lette kjøretøy.</w:t>
      </w:r>
    </w:p>
    <w:p w:rsidR="001C02F5" w:rsidRDefault="001C02F5" w:rsidP="006A2D72"/>
    <w:p w:rsidR="001C02F5" w:rsidRDefault="001C02F5" w:rsidP="006A2D72">
      <w:r>
        <w:t>I gruppen mellomtunge kjøretøy har 2 av kontrollgruppene bedre godkjenningsandeler enn i 2011, og 6 kontrollgrupper hadde en nedgang i forhold til 2011. Igjen er det kontrollpunktet bremser som har lavest godkjenningsandel. For mellomtunge kjøretøy var det ett kontrollpunkt som passerte det oppsatte måltallet, det var kontrollpunkt 6 – karosseri/påbygg som passerte måltallet med 2,3 prosentpoeng, resultatet var her 88,3 %.</w:t>
      </w:r>
    </w:p>
    <w:p w:rsidR="001C02F5" w:rsidRDefault="001C02F5" w:rsidP="006A2D72"/>
    <w:p w:rsidR="001C02F5" w:rsidRDefault="001C02F5" w:rsidP="006A2D72">
      <w:r>
        <w:t>Tunge kjøretøy hadde bedre godkjenningsandeler i 3 av kontrollgruppene, og en nedgang i godkjenningsandel for 5 av kontrollgruppene i forhold til 2011. Nok en gang kommer kontrollpunktet bremser dårligst ut med godkjenningsandel på 55,4 %, hvor man hadde en positiv utvikling med økning i godkjenningsandel fra 2007 t.o.m. 2010, men altså likevel har hatt en nedgang fra 2010 til 2012 på totalt 1,8 prosentpoeng. I forhold til 2011 hadde hovedgruppen bremser en nedgang i godkjenningsandel på 0,6 prosentpoeng, mens sikt hadde en tilsvarende økning i godkjenningsandel på 0,6 prosentpoeng. For øvrige hovedgrupper er det registrert kun mindre endringer i 2012. To hovedkontrollgrupper passerte måltall satt for tunge kjøretøy i 2012: styring og annet utstyr med henholdsvis 0,3 og 2,1 prosentpoeng.</w:t>
      </w:r>
    </w:p>
    <w:p w:rsidR="001C02F5" w:rsidRDefault="001C02F5" w:rsidP="00A62D01"/>
    <w:p w:rsidR="001C02F5" w:rsidRDefault="001C02F5" w:rsidP="00A62D01">
      <w:pPr>
        <w:pStyle w:val="Dokumenttekst"/>
      </w:pPr>
    </w:p>
    <w:p w:rsidR="001C02F5" w:rsidRPr="00ED3CF7" w:rsidRDefault="001C02F5">
      <w:pPr>
        <w:pStyle w:val="Dokumenttekst"/>
      </w:pPr>
    </w:p>
    <w:p w:rsidR="001C02F5" w:rsidRPr="00ED3CF7" w:rsidRDefault="001C02F5">
      <w:pPr>
        <w:pStyle w:val="Dokumenttekst"/>
      </w:pPr>
    </w:p>
    <w:p w:rsidR="001C02F5" w:rsidRPr="00ED3CF7" w:rsidRDefault="001C02F5">
      <w:pPr>
        <w:pStyle w:val="Dokumenttekst"/>
      </w:pPr>
    </w:p>
    <w:tbl>
      <w:tblPr>
        <w:tblW w:w="0" w:type="auto"/>
        <w:tblLayout w:type="fixed"/>
        <w:tblCellMar>
          <w:left w:w="70" w:type="dxa"/>
          <w:right w:w="70" w:type="dxa"/>
        </w:tblCellMar>
        <w:tblLook w:val="0000"/>
      </w:tblPr>
      <w:tblGrid>
        <w:gridCol w:w="8575"/>
      </w:tblGrid>
      <w:tr w:rsidR="001C02F5" w:rsidRPr="00ED3CF7">
        <w:tc>
          <w:tcPr>
            <w:tcW w:w="8575" w:type="dxa"/>
          </w:tcPr>
          <w:p w:rsidR="001C02F5" w:rsidRPr="00ED3CF7" w:rsidRDefault="001C02F5">
            <w:pPr>
              <w:pStyle w:val="Dokumenttekst"/>
            </w:pPr>
            <w:bookmarkStart w:id="23" w:name="vedlegg" w:colFirst="0" w:colLast="0"/>
          </w:p>
        </w:tc>
      </w:tr>
      <w:bookmarkEnd w:id="23"/>
    </w:tbl>
    <w:p w:rsidR="001C02F5" w:rsidRPr="00ED3CF7" w:rsidRDefault="001C02F5"/>
    <w:sectPr w:rsidR="001C02F5" w:rsidRPr="00ED3CF7" w:rsidSect="00E15A8D">
      <w:headerReference w:type="even" r:id="rId11"/>
      <w:headerReference w:type="default" r:id="rId12"/>
      <w:headerReference w:type="first" r:id="rId13"/>
      <w:footerReference w:type="first" r:id="rId14"/>
      <w:type w:val="continuous"/>
      <w:pgSz w:w="11907" w:h="16840" w:code="9"/>
      <w:pgMar w:top="1418" w:right="1418" w:bottom="1418"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2F5" w:rsidRPr="00ED3CF7" w:rsidRDefault="001C02F5">
      <w:r w:rsidRPr="00ED3CF7">
        <w:separator/>
      </w:r>
    </w:p>
  </w:endnote>
  <w:endnote w:type="continuationSeparator" w:id="0">
    <w:p w:rsidR="001C02F5" w:rsidRDefault="001C02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umnst777 Blk BT">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umnst777 BT">
    <w:panose1 w:val="020B0603030504020204"/>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F5" w:rsidRPr="00ED3CF7" w:rsidRDefault="001C02F5"/>
  <w:tbl>
    <w:tblPr>
      <w:tblW w:w="10188" w:type="dxa"/>
      <w:tblLook w:val="0000"/>
    </w:tblPr>
    <w:tblGrid>
      <w:gridCol w:w="2628"/>
      <w:gridCol w:w="2700"/>
      <w:gridCol w:w="2700"/>
      <w:gridCol w:w="2160"/>
    </w:tblGrid>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26" w:name="BTK1R1" w:colFirst="0" w:colLast="0"/>
          <w:bookmarkStart w:id="27" w:name="BTK2R1" w:colFirst="1" w:colLast="1"/>
          <w:bookmarkStart w:id="28" w:name="BTK3R1" w:colFirst="2" w:colLast="2"/>
          <w:bookmarkStart w:id="29" w:name="BTK4R1" w:colFirst="3" w:colLast="3"/>
          <w:r w:rsidRPr="00ED3CF7">
            <w:rPr>
              <w:rFonts w:ascii="Humnst777 BT" w:hAnsi="Humnst777 BT" w:cs="Humnst777 BT"/>
              <w:sz w:val="14"/>
              <w:szCs w:val="14"/>
            </w:rPr>
            <w:t>Postadresse</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Telefon: 02030</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Kontoradresse</w:t>
          </w: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Fakturaadresse</w:t>
          </w:r>
        </w:p>
      </w:tc>
    </w:tr>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30" w:name="BTK1R2" w:colFirst="0" w:colLast="0"/>
          <w:bookmarkStart w:id="31" w:name="BTK2R2" w:colFirst="1" w:colLast="1"/>
          <w:bookmarkStart w:id="32" w:name="BTK3R2" w:colFirst="2" w:colLast="2"/>
          <w:bookmarkStart w:id="33" w:name="BTK4R2" w:colFirst="3" w:colLast="3"/>
          <w:bookmarkEnd w:id="26"/>
          <w:bookmarkEnd w:id="27"/>
          <w:bookmarkEnd w:id="28"/>
          <w:bookmarkEnd w:id="29"/>
          <w:r w:rsidRPr="00ED3CF7">
            <w:rPr>
              <w:rFonts w:ascii="Humnst777 BT" w:hAnsi="Humnst777 BT" w:cs="Humnst777 BT"/>
              <w:sz w:val="14"/>
              <w:szCs w:val="14"/>
            </w:rPr>
            <w:t>Statens vegvesen</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Telefaks: 22 07 37 68</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Brynsengfaret 6A</w:t>
          </w: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Statens vegvesen</w:t>
          </w:r>
        </w:p>
      </w:tc>
    </w:tr>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34" w:name="BTK1R3" w:colFirst="0" w:colLast="0"/>
          <w:bookmarkStart w:id="35" w:name="BTK2R3" w:colFirst="1" w:colLast="1"/>
          <w:bookmarkStart w:id="36" w:name="BTK3R3" w:colFirst="2" w:colLast="2"/>
          <w:bookmarkStart w:id="37" w:name="BTK4R3" w:colFirst="3" w:colLast="3"/>
          <w:bookmarkEnd w:id="30"/>
          <w:bookmarkEnd w:id="31"/>
          <w:bookmarkEnd w:id="32"/>
          <w:bookmarkEnd w:id="33"/>
          <w:r w:rsidRPr="00ED3CF7">
            <w:rPr>
              <w:rFonts w:ascii="Humnst777 BT" w:hAnsi="Humnst777 BT" w:cs="Humnst777 BT"/>
              <w:sz w:val="14"/>
              <w:szCs w:val="14"/>
            </w:rPr>
            <w:t>Vegdirektoratet</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firmapost@vegvesen.no</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0667 OSLO</w:t>
          </w: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Regnskap</w:t>
          </w:r>
        </w:p>
      </w:tc>
    </w:tr>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38" w:name="BTK1R4" w:colFirst="0" w:colLast="0"/>
          <w:bookmarkStart w:id="39" w:name="BTK2R4" w:colFirst="1" w:colLast="1"/>
          <w:bookmarkStart w:id="40" w:name="BTK3R4" w:colFirst="2" w:colLast="2"/>
          <w:bookmarkStart w:id="41" w:name="BTK4R4" w:colFirst="3" w:colLast="3"/>
          <w:bookmarkEnd w:id="34"/>
          <w:bookmarkEnd w:id="35"/>
          <w:bookmarkEnd w:id="36"/>
          <w:bookmarkEnd w:id="37"/>
          <w:r w:rsidRPr="00ED3CF7">
            <w:rPr>
              <w:rFonts w:ascii="Humnst777 BT" w:hAnsi="Humnst777 BT" w:cs="Humnst777 BT"/>
              <w:sz w:val="14"/>
              <w:szCs w:val="14"/>
            </w:rPr>
            <w:t>Postboks 8142 Dep</w:t>
          </w:r>
        </w:p>
      </w:tc>
      <w:tc>
        <w:tcPr>
          <w:tcW w:w="2700" w:type="dxa"/>
        </w:tcPr>
        <w:p w:rsidR="001C02F5" w:rsidRPr="00ED3CF7" w:rsidRDefault="001C02F5">
          <w:pPr>
            <w:rPr>
              <w:rFonts w:ascii="Humnst777 BT" w:hAnsi="Humnst777 BT" w:cs="Humnst777 BT"/>
              <w:sz w:val="14"/>
              <w:szCs w:val="14"/>
            </w:rPr>
          </w:pPr>
        </w:p>
      </w:tc>
      <w:tc>
        <w:tcPr>
          <w:tcW w:w="2700" w:type="dxa"/>
        </w:tcPr>
        <w:p w:rsidR="001C02F5" w:rsidRPr="00ED3CF7" w:rsidRDefault="001C02F5">
          <w:pPr>
            <w:rPr>
              <w:rFonts w:ascii="Humnst777 BT" w:hAnsi="Humnst777 BT" w:cs="Humnst777 BT"/>
              <w:sz w:val="14"/>
              <w:szCs w:val="14"/>
            </w:rPr>
          </w:pP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Båtsfjordveien 18</w:t>
          </w:r>
        </w:p>
      </w:tc>
    </w:tr>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42" w:name="BTK1R5" w:colFirst="0" w:colLast="0"/>
          <w:bookmarkStart w:id="43" w:name="BTK2R5" w:colFirst="1" w:colLast="1"/>
          <w:bookmarkStart w:id="44" w:name="BTK3R5" w:colFirst="2" w:colLast="2"/>
          <w:bookmarkStart w:id="45" w:name="BTK4R5" w:colFirst="3" w:colLast="3"/>
          <w:bookmarkEnd w:id="38"/>
          <w:bookmarkEnd w:id="39"/>
          <w:bookmarkEnd w:id="40"/>
          <w:bookmarkEnd w:id="41"/>
          <w:r w:rsidRPr="00ED3CF7">
            <w:rPr>
              <w:rFonts w:ascii="Humnst777 BT" w:hAnsi="Humnst777 BT" w:cs="Humnst777 BT"/>
              <w:sz w:val="14"/>
              <w:szCs w:val="14"/>
            </w:rPr>
            <w:t>0033 Oslo</w:t>
          </w:r>
        </w:p>
      </w:tc>
      <w:tc>
        <w:tcPr>
          <w:tcW w:w="270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Org.nr: 971032081</w:t>
          </w:r>
        </w:p>
      </w:tc>
      <w:tc>
        <w:tcPr>
          <w:tcW w:w="2700" w:type="dxa"/>
        </w:tcPr>
        <w:p w:rsidR="001C02F5" w:rsidRPr="00ED3CF7" w:rsidRDefault="001C02F5">
          <w:pPr>
            <w:rPr>
              <w:rFonts w:ascii="Humnst777 BT" w:hAnsi="Humnst777 BT" w:cs="Humnst777 BT"/>
              <w:sz w:val="14"/>
              <w:szCs w:val="14"/>
            </w:rPr>
          </w:pP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9815 VADSØ</w:t>
          </w:r>
        </w:p>
      </w:tc>
    </w:tr>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46" w:name="BTK1R6" w:colFirst="0" w:colLast="0"/>
          <w:bookmarkStart w:id="47" w:name="BTK2R6" w:colFirst="1" w:colLast="1"/>
          <w:bookmarkStart w:id="48" w:name="BTK3R6" w:colFirst="2" w:colLast="2"/>
          <w:bookmarkStart w:id="49" w:name="BTK4R6" w:colFirst="3" w:colLast="3"/>
          <w:bookmarkEnd w:id="42"/>
          <w:bookmarkEnd w:id="43"/>
          <w:bookmarkEnd w:id="44"/>
          <w:bookmarkEnd w:id="45"/>
        </w:p>
      </w:tc>
      <w:tc>
        <w:tcPr>
          <w:tcW w:w="2700" w:type="dxa"/>
        </w:tcPr>
        <w:p w:rsidR="001C02F5" w:rsidRPr="00ED3CF7" w:rsidRDefault="001C02F5">
          <w:pPr>
            <w:rPr>
              <w:rFonts w:ascii="Humnst777 BT" w:hAnsi="Humnst777 BT" w:cs="Humnst777 BT"/>
              <w:sz w:val="14"/>
              <w:szCs w:val="14"/>
            </w:rPr>
          </w:pPr>
        </w:p>
      </w:tc>
      <w:tc>
        <w:tcPr>
          <w:tcW w:w="2700" w:type="dxa"/>
        </w:tcPr>
        <w:p w:rsidR="001C02F5" w:rsidRPr="00ED3CF7" w:rsidRDefault="001C02F5">
          <w:pPr>
            <w:rPr>
              <w:rFonts w:ascii="Humnst777 BT" w:hAnsi="Humnst777 BT" w:cs="Humnst777 BT"/>
              <w:sz w:val="14"/>
              <w:szCs w:val="14"/>
            </w:rPr>
          </w:pP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Telefon: 78 94 15 50</w:t>
          </w:r>
        </w:p>
      </w:tc>
    </w:tr>
    <w:tr w:rsidR="001C02F5" w:rsidRPr="00ED3CF7">
      <w:trPr>
        <w:trHeight w:hRule="exact" w:val="198"/>
      </w:trPr>
      <w:tc>
        <w:tcPr>
          <w:tcW w:w="2628" w:type="dxa"/>
        </w:tcPr>
        <w:p w:rsidR="001C02F5" w:rsidRPr="00ED3CF7" w:rsidRDefault="001C02F5">
          <w:pPr>
            <w:rPr>
              <w:rFonts w:ascii="Humnst777 BT" w:hAnsi="Humnst777 BT" w:cs="Humnst777 BT"/>
              <w:sz w:val="14"/>
              <w:szCs w:val="14"/>
            </w:rPr>
          </w:pPr>
          <w:bookmarkStart w:id="50" w:name="BTK2R7" w:colFirst="1" w:colLast="1"/>
          <w:bookmarkStart w:id="51" w:name="BTK3R7" w:colFirst="2" w:colLast="2"/>
          <w:bookmarkStart w:id="52" w:name="BTK1R7" w:colFirst="0" w:colLast="0"/>
          <w:bookmarkStart w:id="53" w:name="BTK4R7" w:colFirst="3" w:colLast="3"/>
          <w:bookmarkEnd w:id="46"/>
          <w:bookmarkEnd w:id="47"/>
          <w:bookmarkEnd w:id="48"/>
          <w:bookmarkEnd w:id="49"/>
        </w:p>
      </w:tc>
      <w:tc>
        <w:tcPr>
          <w:tcW w:w="2700" w:type="dxa"/>
        </w:tcPr>
        <w:p w:rsidR="001C02F5" w:rsidRPr="00ED3CF7" w:rsidRDefault="001C02F5">
          <w:pPr>
            <w:rPr>
              <w:rFonts w:ascii="Humnst777 BT" w:hAnsi="Humnst777 BT" w:cs="Humnst777 BT"/>
              <w:sz w:val="14"/>
              <w:szCs w:val="14"/>
            </w:rPr>
          </w:pPr>
        </w:p>
      </w:tc>
      <w:tc>
        <w:tcPr>
          <w:tcW w:w="2700" w:type="dxa"/>
        </w:tcPr>
        <w:p w:rsidR="001C02F5" w:rsidRPr="00ED3CF7" w:rsidRDefault="001C02F5">
          <w:pPr>
            <w:rPr>
              <w:rFonts w:ascii="Humnst777 BT" w:hAnsi="Humnst777 BT" w:cs="Humnst777 BT"/>
              <w:sz w:val="14"/>
              <w:szCs w:val="14"/>
            </w:rPr>
          </w:pPr>
        </w:p>
      </w:tc>
      <w:tc>
        <w:tcPr>
          <w:tcW w:w="2160" w:type="dxa"/>
        </w:tcPr>
        <w:p w:rsidR="001C02F5" w:rsidRPr="00ED3CF7" w:rsidRDefault="001C02F5">
          <w:pPr>
            <w:rPr>
              <w:rFonts w:ascii="Humnst777 BT" w:hAnsi="Humnst777 BT" w:cs="Humnst777 BT"/>
              <w:sz w:val="14"/>
              <w:szCs w:val="14"/>
            </w:rPr>
          </w:pPr>
          <w:r w:rsidRPr="00ED3CF7">
            <w:rPr>
              <w:rFonts w:ascii="Humnst777 BT" w:hAnsi="Humnst777 BT" w:cs="Humnst777 BT"/>
              <w:sz w:val="14"/>
              <w:szCs w:val="14"/>
            </w:rPr>
            <w:t>Telefaks: 78 95 33 52</w:t>
          </w:r>
        </w:p>
      </w:tc>
    </w:tr>
    <w:bookmarkEnd w:id="50"/>
    <w:bookmarkEnd w:id="51"/>
    <w:bookmarkEnd w:id="52"/>
    <w:bookmarkEnd w:id="53"/>
  </w:tbl>
  <w:p w:rsidR="001C02F5" w:rsidRPr="00ED3CF7" w:rsidRDefault="001C02F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2F5" w:rsidRPr="00ED3CF7" w:rsidRDefault="001C02F5">
      <w:r w:rsidRPr="00ED3CF7">
        <w:separator/>
      </w:r>
    </w:p>
  </w:footnote>
  <w:footnote w:type="continuationSeparator" w:id="0">
    <w:p w:rsidR="001C02F5" w:rsidRPr="00ED3CF7" w:rsidRDefault="001C02F5">
      <w:r w:rsidRPr="00ED3CF7">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F5" w:rsidRPr="00ED3CF7" w:rsidRDefault="001C02F5">
    <w:pPr>
      <w:pStyle w:val="Header"/>
      <w:framePr w:wrap="around" w:vAnchor="text" w:hAnchor="margin" w:xAlign="right" w:y="1"/>
      <w:rPr>
        <w:rStyle w:val="PageNumber"/>
      </w:rPr>
    </w:pPr>
    <w:r w:rsidRPr="00ED3CF7">
      <w:rPr>
        <w:rStyle w:val="PageNumber"/>
      </w:rPr>
      <w:fldChar w:fldCharType="begin"/>
    </w:r>
    <w:r w:rsidRPr="00ED3CF7">
      <w:rPr>
        <w:rStyle w:val="PageNumber"/>
      </w:rPr>
      <w:instrText xml:space="preserve">PAGE  </w:instrText>
    </w:r>
    <w:r w:rsidRPr="00ED3CF7">
      <w:rPr>
        <w:rStyle w:val="PageNumber"/>
      </w:rPr>
      <w:fldChar w:fldCharType="separate"/>
    </w:r>
    <w:r w:rsidRPr="00ED3CF7">
      <w:rPr>
        <w:rStyle w:val="PageNumber"/>
        <w:noProof/>
      </w:rPr>
      <w:t>1</w:t>
    </w:r>
    <w:r w:rsidRPr="00ED3CF7">
      <w:rPr>
        <w:rStyle w:val="PageNumber"/>
      </w:rPr>
      <w:fldChar w:fldCharType="end"/>
    </w:r>
  </w:p>
  <w:p w:rsidR="001C02F5" w:rsidRPr="00ED3CF7" w:rsidRDefault="001C02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F5" w:rsidRPr="00ED3CF7" w:rsidRDefault="001C02F5">
    <w:pPr>
      <w:pStyle w:val="Header"/>
      <w:tabs>
        <w:tab w:val="clear" w:pos="9072"/>
        <w:tab w:val="right" w:pos="7938"/>
      </w:tabs>
      <w:ind w:right="-1"/>
      <w:jc w:val="right"/>
      <w:rPr>
        <w:rStyle w:val="PageNumber"/>
      </w:rPr>
    </w:pPr>
    <w:r w:rsidRPr="00ED3CF7">
      <w:rPr>
        <w:rStyle w:val="PageNumber"/>
      </w:rPr>
      <w:fldChar w:fldCharType="begin"/>
    </w:r>
    <w:r w:rsidRPr="00ED3CF7">
      <w:rPr>
        <w:rStyle w:val="PageNumber"/>
      </w:rPr>
      <w:instrText xml:space="preserve"> PAGE </w:instrText>
    </w:r>
    <w:r w:rsidRPr="00ED3CF7">
      <w:rPr>
        <w:rStyle w:val="PageNumber"/>
      </w:rPr>
      <w:fldChar w:fldCharType="separate"/>
    </w:r>
    <w:r>
      <w:rPr>
        <w:rStyle w:val="PageNumber"/>
        <w:noProof/>
      </w:rPr>
      <w:t>15</w:t>
    </w:r>
    <w:r w:rsidRPr="00ED3CF7">
      <w:rPr>
        <w:rStyle w:val="PageNumber"/>
      </w:rPr>
      <w:fldChar w:fldCharType="end"/>
    </w:r>
  </w:p>
  <w:p w:rsidR="001C02F5" w:rsidRPr="00ED3CF7" w:rsidRDefault="001C02F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1C02F5" w:rsidRPr="00ED3CF7">
      <w:trPr>
        <w:trHeight w:hRule="exact" w:val="992"/>
        <w:jc w:val="center"/>
      </w:trPr>
      <w:tc>
        <w:tcPr>
          <w:tcW w:w="9242" w:type="dxa"/>
        </w:tcPr>
        <w:p w:rsidR="001C02F5" w:rsidRPr="00ED3CF7" w:rsidRDefault="001C02F5">
          <w:pPr>
            <w:pStyle w:val="Header"/>
            <w:spacing w:before="80"/>
            <w:ind w:left="-170"/>
            <w:jc w:val="center"/>
          </w:pPr>
          <w:bookmarkStart w:id="24" w:name="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1C02F5" w:rsidRPr="00ED3CF7">
      <w:trPr>
        <w:jc w:val="center"/>
      </w:trPr>
      <w:tc>
        <w:tcPr>
          <w:tcW w:w="9242" w:type="dxa"/>
        </w:tcPr>
        <w:p w:rsidR="001C02F5" w:rsidRPr="00ED3CF7" w:rsidRDefault="001C02F5">
          <w:pPr>
            <w:pStyle w:val="Header"/>
            <w:ind w:left="-113"/>
            <w:jc w:val="center"/>
            <w:rPr>
              <w:b/>
              <w:bCs/>
              <w:spacing w:val="6"/>
            </w:rPr>
          </w:pPr>
          <w:bookmarkStart w:id="25" w:name="TTL1" w:colFirst="0" w:colLast="0"/>
          <w:bookmarkEnd w:id="24"/>
          <w:r w:rsidRPr="00ED3CF7">
            <w:rPr>
              <w:rFonts w:ascii="Humnst777 Blk BT" w:hAnsi="Humnst777 Blk BT" w:cs="Humnst777 Blk BT"/>
              <w:b/>
              <w:bCs/>
              <w:spacing w:val="6"/>
            </w:rPr>
            <w:t>Statens vegvesen</w:t>
          </w:r>
        </w:p>
      </w:tc>
    </w:tr>
    <w:bookmarkEnd w:id="25"/>
  </w:tbl>
  <w:p w:rsidR="001C02F5" w:rsidRPr="00ED3CF7" w:rsidRDefault="001C02F5">
    <w:pPr>
      <w:pStyle w:val="Header"/>
      <w:tabs>
        <w:tab w:val="left" w:pos="4111"/>
      </w:tabs>
    </w:pPr>
  </w:p>
  <w:p w:rsidR="001C02F5" w:rsidRPr="00ED3CF7" w:rsidRDefault="001C02F5">
    <w:pPr>
      <w:pStyle w:val="Header"/>
      <w:tabs>
        <w:tab w:val="left" w:pos="411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3F6"/>
    <w:multiLevelType w:val="hybridMultilevel"/>
    <w:tmpl w:val="E21255E2"/>
    <w:lvl w:ilvl="0" w:tplc="04140005">
      <w:start w:val="1"/>
      <w:numFmt w:val="bullet"/>
      <w:lvlText w:val=""/>
      <w:lvlJc w:val="left"/>
      <w:pPr>
        <w:tabs>
          <w:tab w:val="num" w:pos="720"/>
        </w:tabs>
        <w:ind w:left="720" w:hanging="360"/>
      </w:pPr>
      <w:rPr>
        <w:rFonts w:ascii="Wingdings" w:hAnsi="Wingdings" w:cs="Wingdings"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0.Postmottak øst, 0.Postmottak sør, 0.Postmottak vest, 0.Postmottak midt, 0.Postmottak nord"/>
    <w:docVar w:name="mal" w:val="Notatmal.Dot"/>
    <w:docVar w:name="Mottakere" w:val="0.Postmottak øst, 0.Postmottak sør, 0.Postmottak vest, 0.Postmottak midt, 0.Postmottak nord"/>
    <w:docVar w:name="NotatFra" w:val="Trafikant- og kjøretøyavdelingen"/>
    <w:docVar w:name="Overskriften" w:val="Tilstandsundersøkelse kap. 7/2012 - Teknisk stand på kjøretøyparken "/>
    <w:docVar w:name="redir" w:val="/sveis_svvb/details/docdet.asp?journalnr=2012672764&amp;files=Y"/>
    <w:docVar w:name="RootFolder" w:val="http://svvsveisweb.vegvesen.no/sveis_svvb"/>
    <w:docVar w:name="SveisDok" w:val="1"/>
    <w:docVar w:name="UNC_checkin_directory" w:val="\\svvpsveisfil01.vegvesen.no\sveis_fileload\svvb\upload\"/>
    <w:docVar w:name="Vår_dato" w:val="16.03.2013"/>
    <w:docVar w:name="Vår_referanse" w:val="2010/004462-051"/>
    <w:docVar w:name="Vår_saksbehandler" w:val="Leif Magne Halvorsen  - 22073672"/>
  </w:docVars>
  <w:rsids>
    <w:rsidRoot w:val="00ED3CF7"/>
    <w:rsid w:val="00016E2F"/>
    <w:rsid w:val="000375CC"/>
    <w:rsid w:val="0007138A"/>
    <w:rsid w:val="00081FF3"/>
    <w:rsid w:val="00092EF8"/>
    <w:rsid w:val="00097B2F"/>
    <w:rsid w:val="000B13BA"/>
    <w:rsid w:val="00103907"/>
    <w:rsid w:val="00143F7A"/>
    <w:rsid w:val="001B5DAB"/>
    <w:rsid w:val="001C02F5"/>
    <w:rsid w:val="00221E13"/>
    <w:rsid w:val="0026414B"/>
    <w:rsid w:val="0028194C"/>
    <w:rsid w:val="00301359"/>
    <w:rsid w:val="00315A8B"/>
    <w:rsid w:val="00333B68"/>
    <w:rsid w:val="00362727"/>
    <w:rsid w:val="00363D48"/>
    <w:rsid w:val="00384292"/>
    <w:rsid w:val="003876F6"/>
    <w:rsid w:val="00396A5A"/>
    <w:rsid w:val="003A0B03"/>
    <w:rsid w:val="003B7819"/>
    <w:rsid w:val="003E2B67"/>
    <w:rsid w:val="003E3C52"/>
    <w:rsid w:val="00407F25"/>
    <w:rsid w:val="004205F8"/>
    <w:rsid w:val="00434F7F"/>
    <w:rsid w:val="00441E7F"/>
    <w:rsid w:val="0045748C"/>
    <w:rsid w:val="0047387F"/>
    <w:rsid w:val="00475CFF"/>
    <w:rsid w:val="00484A98"/>
    <w:rsid w:val="004D7708"/>
    <w:rsid w:val="00506EB6"/>
    <w:rsid w:val="00511F74"/>
    <w:rsid w:val="00531048"/>
    <w:rsid w:val="0056273A"/>
    <w:rsid w:val="0056570F"/>
    <w:rsid w:val="005A2DC1"/>
    <w:rsid w:val="005B1A00"/>
    <w:rsid w:val="005D67BD"/>
    <w:rsid w:val="005E06D6"/>
    <w:rsid w:val="005E670E"/>
    <w:rsid w:val="00614B62"/>
    <w:rsid w:val="00620AD7"/>
    <w:rsid w:val="00666772"/>
    <w:rsid w:val="006A2D72"/>
    <w:rsid w:val="006C0A87"/>
    <w:rsid w:val="006F07DB"/>
    <w:rsid w:val="006F5A16"/>
    <w:rsid w:val="00741F39"/>
    <w:rsid w:val="00765139"/>
    <w:rsid w:val="00772EFE"/>
    <w:rsid w:val="00777A01"/>
    <w:rsid w:val="007B5AB1"/>
    <w:rsid w:val="007C50D1"/>
    <w:rsid w:val="00871492"/>
    <w:rsid w:val="008910F5"/>
    <w:rsid w:val="008A6D00"/>
    <w:rsid w:val="008B1763"/>
    <w:rsid w:val="008C0276"/>
    <w:rsid w:val="00903059"/>
    <w:rsid w:val="009045F9"/>
    <w:rsid w:val="00912CAB"/>
    <w:rsid w:val="009479E2"/>
    <w:rsid w:val="00957DCB"/>
    <w:rsid w:val="009629C6"/>
    <w:rsid w:val="00A2171A"/>
    <w:rsid w:val="00A2275F"/>
    <w:rsid w:val="00A37995"/>
    <w:rsid w:val="00A62D01"/>
    <w:rsid w:val="00A8284B"/>
    <w:rsid w:val="00AE5ECE"/>
    <w:rsid w:val="00B00CFF"/>
    <w:rsid w:val="00B24CA4"/>
    <w:rsid w:val="00B33392"/>
    <w:rsid w:val="00B4070F"/>
    <w:rsid w:val="00B5066A"/>
    <w:rsid w:val="00B6596A"/>
    <w:rsid w:val="00B976E5"/>
    <w:rsid w:val="00B97E91"/>
    <w:rsid w:val="00BC170A"/>
    <w:rsid w:val="00BD16B2"/>
    <w:rsid w:val="00C86C8B"/>
    <w:rsid w:val="00CA3D5E"/>
    <w:rsid w:val="00CA63E2"/>
    <w:rsid w:val="00CA7C0C"/>
    <w:rsid w:val="00CC08AA"/>
    <w:rsid w:val="00D935CE"/>
    <w:rsid w:val="00DB42E1"/>
    <w:rsid w:val="00DE33AB"/>
    <w:rsid w:val="00DF6754"/>
    <w:rsid w:val="00E135F3"/>
    <w:rsid w:val="00E15A8D"/>
    <w:rsid w:val="00EB2D59"/>
    <w:rsid w:val="00ED3CF7"/>
    <w:rsid w:val="00EE1EEB"/>
    <w:rsid w:val="00EF1F12"/>
    <w:rsid w:val="00EF5D28"/>
    <w:rsid w:val="00F141F2"/>
    <w:rsid w:val="00F34AA1"/>
    <w:rsid w:val="00F41DCF"/>
    <w:rsid w:val="00F6531F"/>
    <w:rsid w:val="00F77785"/>
    <w:rsid w:val="00F94635"/>
    <w:rsid w:val="00FB4F22"/>
    <w:rsid w:val="00FB6AC3"/>
    <w:rsid w:val="00FB78BC"/>
    <w:rsid w:val="00FE0D5A"/>
    <w:rsid w:val="00FE2325"/>
    <w:rsid w:val="00FF788E"/>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8D"/>
    <w:rPr>
      <w:sz w:val="24"/>
      <w:szCs w:val="24"/>
      <w:lang w:eastAsia="en-US"/>
    </w:rPr>
  </w:style>
  <w:style w:type="paragraph" w:styleId="Heading1">
    <w:name w:val="heading 1"/>
    <w:basedOn w:val="Normal"/>
    <w:next w:val="Dokumenttekst"/>
    <w:link w:val="Heading1Char"/>
    <w:uiPriority w:val="99"/>
    <w:qFormat/>
    <w:rsid w:val="00E15A8D"/>
    <w:pPr>
      <w:keepNext/>
      <w:spacing w:before="480" w:after="240"/>
      <w:outlineLvl w:val="0"/>
    </w:pPr>
    <w:rPr>
      <w:b/>
      <w:bCs/>
    </w:rPr>
  </w:style>
  <w:style w:type="paragraph" w:styleId="Heading2">
    <w:name w:val="heading 2"/>
    <w:basedOn w:val="Normal"/>
    <w:next w:val="Dokumenttekst"/>
    <w:link w:val="Heading2Char"/>
    <w:uiPriority w:val="99"/>
    <w:qFormat/>
    <w:rsid w:val="00E15A8D"/>
    <w:pPr>
      <w:keepNext/>
      <w:spacing w:before="480" w:after="240"/>
      <w:outlineLvl w:val="1"/>
    </w:pPr>
    <w:rPr>
      <w:u w:val="single"/>
    </w:rPr>
  </w:style>
  <w:style w:type="paragraph" w:styleId="Heading3">
    <w:name w:val="heading 3"/>
    <w:basedOn w:val="Normal"/>
    <w:next w:val="Dokumenttekst"/>
    <w:link w:val="Heading3Char"/>
    <w:uiPriority w:val="99"/>
    <w:qFormat/>
    <w:rsid w:val="00E15A8D"/>
    <w:pPr>
      <w:keepNext/>
      <w:spacing w:before="480" w:after="240"/>
      <w:outlineLvl w:val="2"/>
    </w:pPr>
  </w:style>
  <w:style w:type="paragraph" w:styleId="Heading4">
    <w:name w:val="heading 4"/>
    <w:basedOn w:val="Normal"/>
    <w:next w:val="Normal"/>
    <w:link w:val="Heading4Char"/>
    <w:uiPriority w:val="99"/>
    <w:qFormat/>
    <w:rsid w:val="00E15A8D"/>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74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C7437"/>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C7437"/>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C7437"/>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E15A8D"/>
    <w:pPr>
      <w:tabs>
        <w:tab w:val="center" w:pos="4536"/>
        <w:tab w:val="right" w:pos="9072"/>
      </w:tabs>
    </w:pPr>
  </w:style>
  <w:style w:type="character" w:customStyle="1" w:styleId="HeaderChar">
    <w:name w:val="Header Char"/>
    <w:basedOn w:val="DefaultParagraphFont"/>
    <w:link w:val="Header"/>
    <w:uiPriority w:val="99"/>
    <w:semiHidden/>
    <w:rsid w:val="004C7437"/>
    <w:rPr>
      <w:sz w:val="24"/>
      <w:szCs w:val="24"/>
      <w:lang w:eastAsia="en-US"/>
    </w:rPr>
  </w:style>
  <w:style w:type="character" w:styleId="PageNumber">
    <w:name w:val="page number"/>
    <w:basedOn w:val="DefaultParagraphFont"/>
    <w:uiPriority w:val="99"/>
    <w:rsid w:val="00E15A8D"/>
  </w:style>
  <w:style w:type="paragraph" w:customStyle="1" w:styleId="Overskrift">
    <w:name w:val="Overskrift"/>
    <w:basedOn w:val="Normal"/>
    <w:uiPriority w:val="99"/>
    <w:rsid w:val="00E15A8D"/>
    <w:pPr>
      <w:spacing w:before="120" w:after="240"/>
    </w:pPr>
    <w:rPr>
      <w:b/>
      <w:bCs/>
      <w:sz w:val="28"/>
      <w:szCs w:val="28"/>
    </w:rPr>
  </w:style>
  <w:style w:type="paragraph" w:customStyle="1" w:styleId="Dokumenttekst">
    <w:name w:val="Dokumenttekst"/>
    <w:basedOn w:val="Normal"/>
    <w:uiPriority w:val="99"/>
    <w:rsid w:val="00E15A8D"/>
  </w:style>
  <w:style w:type="paragraph" w:styleId="Footer">
    <w:name w:val="footer"/>
    <w:basedOn w:val="Normal"/>
    <w:link w:val="FooterChar"/>
    <w:uiPriority w:val="99"/>
    <w:rsid w:val="00E15A8D"/>
    <w:pPr>
      <w:tabs>
        <w:tab w:val="center" w:pos="4536"/>
        <w:tab w:val="right" w:pos="9072"/>
      </w:tabs>
    </w:pPr>
  </w:style>
  <w:style w:type="character" w:customStyle="1" w:styleId="FooterChar">
    <w:name w:val="Footer Char"/>
    <w:basedOn w:val="DefaultParagraphFont"/>
    <w:link w:val="Footer"/>
    <w:uiPriority w:val="99"/>
    <w:semiHidden/>
    <w:rsid w:val="004C7437"/>
    <w:rPr>
      <w:sz w:val="24"/>
      <w:szCs w:val="24"/>
      <w:lang w:eastAsia="en-US"/>
    </w:rPr>
  </w:style>
  <w:style w:type="paragraph" w:customStyle="1" w:styleId="Parafering">
    <w:name w:val="Parafering"/>
    <w:basedOn w:val="Normal"/>
    <w:next w:val="Dokumenttekst"/>
    <w:uiPriority w:val="99"/>
    <w:rsid w:val="00E15A8D"/>
    <w:pPr>
      <w:tabs>
        <w:tab w:val="left" w:pos="5103"/>
      </w:tabs>
    </w:pPr>
  </w:style>
  <w:style w:type="paragraph" w:styleId="Caption">
    <w:name w:val="caption"/>
    <w:basedOn w:val="Normal"/>
    <w:next w:val="Normal"/>
    <w:uiPriority w:val="99"/>
    <w:qFormat/>
    <w:rsid w:val="00ED3CF7"/>
    <w:pPr>
      <w:spacing w:before="120" w:after="120"/>
    </w:pPr>
    <w:rPr>
      <w:b/>
      <w:bCs/>
      <w:sz w:val="20"/>
      <w:szCs w:val="20"/>
    </w:rPr>
  </w:style>
  <w:style w:type="table" w:styleId="TableGrid">
    <w:name w:val="Table Grid"/>
    <w:basedOn w:val="TableNormal"/>
    <w:uiPriority w:val="99"/>
    <w:rsid w:val="00ED3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62D01"/>
    <w:rPr>
      <w:rFonts w:ascii="Tahoma" w:hAnsi="Tahoma" w:cs="Tahoma"/>
      <w:sz w:val="16"/>
      <w:szCs w:val="16"/>
    </w:rPr>
  </w:style>
  <w:style w:type="character" w:customStyle="1" w:styleId="BalloonTextChar">
    <w:name w:val="Balloon Text Char"/>
    <w:basedOn w:val="DefaultParagraphFont"/>
    <w:link w:val="BalloonText"/>
    <w:uiPriority w:val="99"/>
    <w:rsid w:val="00A62D0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1</TotalTime>
  <Pages>15</Pages>
  <Words>3857</Words>
  <Characters>20444</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Halvorsen Leif Magne</dc:creator>
  <cp:keywords/>
  <dc:description/>
  <cp:lastModifiedBy>May Teistevoll</cp:lastModifiedBy>
  <cp:revision>2</cp:revision>
  <cp:lastPrinted>2002-12-20T11:49:00Z</cp:lastPrinted>
  <dcterms:created xsi:type="dcterms:W3CDTF">2014-02-04T11:02:00Z</dcterms:created>
  <dcterms:modified xsi:type="dcterms:W3CDTF">2014-02-04T11:02:00Z</dcterms:modified>
</cp:coreProperties>
</file>